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9BA" w:rsidRPr="00AA00E6" w:rsidRDefault="006939BA" w:rsidP="00AA00E6">
      <w:pPr>
        <w:pStyle w:val="Ttulo2CerroAzul1"/>
        <w:ind w:left="0" w:firstLine="0"/>
        <w:rPr>
          <w:rFonts w:cs="Arial"/>
          <w:b w:val="0"/>
          <w:caps/>
        </w:rPr>
      </w:pPr>
      <w:r>
        <w:rPr>
          <w:rStyle w:val="Ttulo2CerroAzul1Char"/>
        </w:rPr>
        <w:t xml:space="preserve">A </w:t>
      </w:r>
      <w:r w:rsidR="00AA00E6">
        <w:rPr>
          <w:rStyle w:val="Ttulo2CerroAzul1Char"/>
        </w:rPr>
        <w:t>REGULARIZAÇÃO FUNDIÁRIA DAS UC DE PROTEÇÃO INTEGRAL</w:t>
      </w:r>
      <w:r w:rsidRPr="008A6466">
        <w:t xml:space="preserve"> </w:t>
      </w:r>
    </w:p>
    <w:p w:rsidR="006939BA" w:rsidRDefault="006939BA" w:rsidP="006939BA">
      <w:pPr>
        <w:spacing w:line="240" w:lineRule="auto"/>
        <w:ind w:firstLine="851"/>
        <w:jc w:val="left"/>
        <w:rPr>
          <w:sz w:val="24"/>
          <w:szCs w:val="24"/>
        </w:rPr>
      </w:pPr>
    </w:p>
    <w:p w:rsidR="006939BA" w:rsidRPr="00955B04" w:rsidRDefault="006939BA" w:rsidP="00AA00E6">
      <w:pPr>
        <w:pStyle w:val="Ttulo3"/>
        <w:numPr>
          <w:ilvl w:val="0"/>
          <w:numId w:val="0"/>
        </w:numPr>
        <w:ind w:left="720" w:hanging="720"/>
        <w:rPr>
          <w:sz w:val="24"/>
          <w:szCs w:val="24"/>
        </w:rPr>
      </w:pPr>
      <w:bookmarkStart w:id="0" w:name="_Toc466917655"/>
      <w:bookmarkStart w:id="1" w:name="_Toc473479450"/>
      <w:bookmarkStart w:id="2" w:name="_Toc403332162"/>
      <w:bookmarkStart w:id="3" w:name="_Toc464661314"/>
      <w:r w:rsidRPr="00955B04">
        <w:rPr>
          <w:sz w:val="24"/>
          <w:szCs w:val="24"/>
        </w:rPr>
        <w:t xml:space="preserve">Unidades de </w:t>
      </w:r>
      <w:r w:rsidR="00F676C6" w:rsidRPr="00955B04">
        <w:rPr>
          <w:sz w:val="24"/>
          <w:szCs w:val="24"/>
        </w:rPr>
        <w:t>conservação</w:t>
      </w:r>
      <w:r w:rsidRPr="00955B04">
        <w:rPr>
          <w:sz w:val="24"/>
          <w:szCs w:val="24"/>
        </w:rPr>
        <w:t xml:space="preserve"> de proteção integral e a obrigatoriedade do processo de </w:t>
      </w:r>
      <w:bookmarkEnd w:id="0"/>
      <w:bookmarkEnd w:id="1"/>
      <w:r w:rsidR="0063242F">
        <w:rPr>
          <w:sz w:val="24"/>
          <w:szCs w:val="24"/>
        </w:rPr>
        <w:t>regularização fundiária.</w:t>
      </w:r>
      <w:r w:rsidRPr="00955B04">
        <w:rPr>
          <w:sz w:val="24"/>
          <w:szCs w:val="24"/>
        </w:rPr>
        <w:t xml:space="preserve"> </w:t>
      </w:r>
      <w:bookmarkEnd w:id="2"/>
    </w:p>
    <w:bookmarkEnd w:id="3"/>
    <w:p w:rsidR="006939BA" w:rsidRDefault="006939BA" w:rsidP="006939BA">
      <w:pPr>
        <w:ind w:firstLine="851"/>
        <w:jc w:val="both"/>
        <w:rPr>
          <w:color w:val="000000"/>
          <w:sz w:val="24"/>
          <w:szCs w:val="24"/>
        </w:rPr>
      </w:pPr>
      <w:r w:rsidRPr="00A05A49">
        <w:rPr>
          <w:sz w:val="24"/>
          <w:szCs w:val="24"/>
        </w:rPr>
        <w:t>A</w:t>
      </w:r>
      <w:r>
        <w:rPr>
          <w:sz w:val="24"/>
          <w:szCs w:val="24"/>
        </w:rPr>
        <w:t>s</w:t>
      </w:r>
      <w:r w:rsidRPr="00A05A49">
        <w:rPr>
          <w:sz w:val="24"/>
          <w:szCs w:val="24"/>
        </w:rPr>
        <w:t xml:space="preserve"> Reserva</w:t>
      </w:r>
      <w:r>
        <w:rPr>
          <w:sz w:val="24"/>
          <w:szCs w:val="24"/>
        </w:rPr>
        <w:t>s</w:t>
      </w:r>
      <w:r w:rsidRPr="00A05A49">
        <w:rPr>
          <w:sz w:val="24"/>
          <w:szCs w:val="24"/>
        </w:rPr>
        <w:t xml:space="preserve"> Biológica</w:t>
      </w:r>
      <w:r>
        <w:rPr>
          <w:sz w:val="24"/>
          <w:szCs w:val="24"/>
        </w:rPr>
        <w:t xml:space="preserve">s </w:t>
      </w:r>
      <w:r w:rsidR="00AA00E6">
        <w:rPr>
          <w:sz w:val="24"/>
          <w:szCs w:val="24"/>
        </w:rPr>
        <w:t>e as e</w:t>
      </w:r>
      <w:r w:rsidR="0063242F">
        <w:rPr>
          <w:sz w:val="24"/>
          <w:szCs w:val="24"/>
        </w:rPr>
        <w:t xml:space="preserve">stações Ecológicas </w:t>
      </w:r>
      <w:r>
        <w:rPr>
          <w:sz w:val="24"/>
          <w:szCs w:val="24"/>
        </w:rPr>
        <w:t>são unidades de conservação</w:t>
      </w:r>
      <w:r w:rsidRPr="00A05A49">
        <w:rPr>
          <w:sz w:val="24"/>
          <w:szCs w:val="24"/>
        </w:rPr>
        <w:t xml:space="preserve"> de proteção integral, </w:t>
      </w:r>
      <w:r>
        <w:rPr>
          <w:sz w:val="24"/>
          <w:szCs w:val="24"/>
        </w:rPr>
        <w:t xml:space="preserve">cujo objetivo básico é </w:t>
      </w:r>
      <w:r w:rsidRPr="00A05A49">
        <w:rPr>
          <w:sz w:val="24"/>
          <w:szCs w:val="24"/>
        </w:rPr>
        <w:t>preservar a natureza, sendo admitido apenas o uso indireto dos seus r</w:t>
      </w:r>
      <w:r>
        <w:rPr>
          <w:sz w:val="24"/>
          <w:szCs w:val="24"/>
        </w:rPr>
        <w:t>ecursos naturais. Não admitem pessoas vivendo em seu interior e devem passar por processos de regularização fundiária para que suas terras se tornem</w:t>
      </w:r>
      <w:r w:rsidRPr="00A05A49">
        <w:rPr>
          <w:sz w:val="24"/>
          <w:szCs w:val="24"/>
        </w:rPr>
        <w:t xml:space="preserve"> de posse e domínio público</w:t>
      </w:r>
      <w:r>
        <w:rPr>
          <w:sz w:val="24"/>
          <w:szCs w:val="24"/>
        </w:rPr>
        <w:t>. Isso significa que eventualmente</w:t>
      </w:r>
      <w:r w:rsidRPr="00A05A49">
        <w:rPr>
          <w:sz w:val="24"/>
          <w:szCs w:val="24"/>
        </w:rPr>
        <w:t xml:space="preserve"> áreas privadas </w:t>
      </w:r>
      <w:r>
        <w:rPr>
          <w:sz w:val="24"/>
          <w:szCs w:val="24"/>
        </w:rPr>
        <w:t xml:space="preserve">em seu interior </w:t>
      </w:r>
      <w:r w:rsidR="0063242F">
        <w:rPr>
          <w:sz w:val="24"/>
          <w:szCs w:val="24"/>
        </w:rPr>
        <w:t>precisa</w:t>
      </w:r>
      <w:r>
        <w:rPr>
          <w:sz w:val="24"/>
          <w:szCs w:val="24"/>
        </w:rPr>
        <w:t xml:space="preserve">m de alguma forma </w:t>
      </w:r>
      <w:r w:rsidR="0063242F">
        <w:rPr>
          <w:sz w:val="24"/>
          <w:szCs w:val="24"/>
        </w:rPr>
        <w:t>ser</w:t>
      </w:r>
      <w:r>
        <w:rPr>
          <w:sz w:val="24"/>
          <w:szCs w:val="24"/>
        </w:rPr>
        <w:t xml:space="preserve"> desapropriadas</w:t>
      </w:r>
      <w:r w:rsidR="0063242F">
        <w:rPr>
          <w:sz w:val="24"/>
          <w:szCs w:val="24"/>
        </w:rPr>
        <w:t xml:space="preserve"> </w:t>
      </w:r>
      <w:r w:rsidR="00D24CF4">
        <w:rPr>
          <w:sz w:val="24"/>
          <w:szCs w:val="24"/>
        </w:rPr>
        <w:t xml:space="preserve">– quando propriedades </w:t>
      </w:r>
      <w:r w:rsidR="0007255A">
        <w:rPr>
          <w:sz w:val="24"/>
          <w:szCs w:val="24"/>
        </w:rPr>
        <w:t>devidamente documentadas em cartório - ou ter</w:t>
      </w:r>
      <w:r w:rsidR="00D24CF4">
        <w:rPr>
          <w:sz w:val="24"/>
          <w:szCs w:val="24"/>
        </w:rPr>
        <w:t xml:space="preserve"> suas benfeitorias </w:t>
      </w:r>
      <w:r w:rsidR="003B2076">
        <w:rPr>
          <w:sz w:val="24"/>
          <w:szCs w:val="24"/>
        </w:rPr>
        <w:t>indenizadas -</w:t>
      </w:r>
      <w:r w:rsidR="0007255A">
        <w:rPr>
          <w:sz w:val="24"/>
          <w:szCs w:val="24"/>
        </w:rPr>
        <w:t xml:space="preserve"> quando há apenas ocupação ou posse das terras - </w:t>
      </w:r>
      <w:r w:rsidR="0063242F">
        <w:rPr>
          <w:sz w:val="24"/>
          <w:szCs w:val="24"/>
        </w:rPr>
        <w:t>pelo poder público ou doadas a ele, por mecanismos de compensação de Reserva Legal, por exemplo</w:t>
      </w:r>
      <w:r w:rsidRPr="00A05A49">
        <w:rPr>
          <w:color w:val="000000"/>
          <w:sz w:val="24"/>
          <w:szCs w:val="24"/>
        </w:rPr>
        <w:t xml:space="preserve">. </w:t>
      </w:r>
    </w:p>
    <w:p w:rsidR="00F676C6" w:rsidRDefault="00F676C6" w:rsidP="00F676C6">
      <w:pPr>
        <w:jc w:val="both"/>
        <w:rPr>
          <w:color w:val="000000"/>
          <w:sz w:val="24"/>
          <w:szCs w:val="24"/>
        </w:rPr>
      </w:pPr>
    </w:p>
    <w:p w:rsidR="0007255A" w:rsidRPr="001B132E" w:rsidRDefault="00AA00E6" w:rsidP="00AA00E6">
      <w:pPr>
        <w:pStyle w:val="Ttulo2"/>
        <w:numPr>
          <w:ilvl w:val="0"/>
          <w:numId w:val="0"/>
        </w:numPr>
        <w:ind w:left="860" w:hanging="576"/>
        <w:jc w:val="left"/>
      </w:pPr>
      <w:bookmarkStart w:id="4" w:name="_Toc466917656"/>
      <w:bookmarkStart w:id="5" w:name="_Toc473479451"/>
      <w:r>
        <w:t xml:space="preserve">O </w:t>
      </w:r>
      <w:r w:rsidR="0007255A">
        <w:t>Processo Administrativo de Regularização Fundiária</w:t>
      </w:r>
      <w:bookmarkEnd w:id="4"/>
      <w:bookmarkEnd w:id="5"/>
      <w:r w:rsidR="0007255A">
        <w:t xml:space="preserve"> em UC federal</w:t>
      </w:r>
    </w:p>
    <w:p w:rsidR="0007255A" w:rsidRDefault="0007255A" w:rsidP="0007255A">
      <w:pPr>
        <w:ind w:firstLine="851"/>
        <w:jc w:val="both"/>
        <w:rPr>
          <w:sz w:val="24"/>
          <w:szCs w:val="24"/>
        </w:rPr>
      </w:pPr>
      <w:r>
        <w:rPr>
          <w:sz w:val="24"/>
          <w:szCs w:val="24"/>
        </w:rPr>
        <w:t>A</w:t>
      </w:r>
      <w:r w:rsidRPr="00CB5300">
        <w:rPr>
          <w:sz w:val="24"/>
          <w:szCs w:val="24"/>
        </w:rPr>
        <w:t xml:space="preserve"> abertura do processo administrativo de regularização fundiária </w:t>
      </w:r>
      <w:r>
        <w:rPr>
          <w:sz w:val="24"/>
          <w:szCs w:val="24"/>
        </w:rPr>
        <w:t xml:space="preserve">em UC federais </w:t>
      </w:r>
      <w:r w:rsidRPr="00CB5300">
        <w:rPr>
          <w:sz w:val="24"/>
          <w:szCs w:val="24"/>
        </w:rPr>
        <w:t xml:space="preserve">pode </w:t>
      </w:r>
      <w:r>
        <w:rPr>
          <w:sz w:val="24"/>
          <w:szCs w:val="24"/>
        </w:rPr>
        <w:t>ser de iniciativa</w:t>
      </w:r>
      <w:r w:rsidRPr="00CB5300">
        <w:rPr>
          <w:sz w:val="24"/>
          <w:szCs w:val="24"/>
        </w:rPr>
        <w:t xml:space="preserve"> do proprie</w:t>
      </w:r>
      <w:r>
        <w:rPr>
          <w:sz w:val="24"/>
          <w:szCs w:val="24"/>
        </w:rPr>
        <w:t xml:space="preserve">tário, interessado em receber </w:t>
      </w:r>
      <w:r w:rsidRPr="00CB5300">
        <w:rPr>
          <w:sz w:val="24"/>
          <w:szCs w:val="24"/>
        </w:rPr>
        <w:t>indenização</w:t>
      </w:r>
      <w:r>
        <w:rPr>
          <w:sz w:val="24"/>
          <w:szCs w:val="24"/>
        </w:rPr>
        <w:t xml:space="preserve"> ou em negociar suas terras com fins de compensação de Reserva Legal</w:t>
      </w:r>
      <w:r w:rsidRPr="00CB5300">
        <w:rPr>
          <w:sz w:val="24"/>
          <w:szCs w:val="24"/>
        </w:rPr>
        <w:t xml:space="preserve">, </w:t>
      </w:r>
      <w:r>
        <w:rPr>
          <w:sz w:val="24"/>
          <w:szCs w:val="24"/>
        </w:rPr>
        <w:t>ou do</w:t>
      </w:r>
      <w:r w:rsidRPr="00CB5300">
        <w:rPr>
          <w:sz w:val="24"/>
          <w:szCs w:val="24"/>
        </w:rPr>
        <w:t xml:space="preserve"> próprio </w:t>
      </w:r>
      <w:r>
        <w:rPr>
          <w:sz w:val="24"/>
          <w:szCs w:val="24"/>
        </w:rPr>
        <w:t>ICMBio</w:t>
      </w:r>
      <w:r w:rsidRPr="00CB5300">
        <w:rPr>
          <w:sz w:val="24"/>
          <w:szCs w:val="24"/>
        </w:rPr>
        <w:t xml:space="preserve">, </w:t>
      </w:r>
      <w:r>
        <w:rPr>
          <w:sz w:val="24"/>
          <w:szCs w:val="24"/>
        </w:rPr>
        <w:t>quando a desapropriação é considerada estratégica para que a UC cumpra seus objetivos.</w:t>
      </w:r>
    </w:p>
    <w:p w:rsidR="0007255A" w:rsidRDefault="0007255A" w:rsidP="0007255A">
      <w:pPr>
        <w:ind w:firstLine="851"/>
        <w:jc w:val="both"/>
        <w:rPr>
          <w:sz w:val="24"/>
          <w:szCs w:val="24"/>
        </w:rPr>
      </w:pPr>
      <w:r w:rsidRPr="00CB5300">
        <w:rPr>
          <w:sz w:val="24"/>
          <w:szCs w:val="24"/>
        </w:rPr>
        <w:t>O</w:t>
      </w:r>
      <w:r>
        <w:rPr>
          <w:sz w:val="24"/>
          <w:szCs w:val="24"/>
        </w:rPr>
        <w:t>s processos são abertos em</w:t>
      </w:r>
      <w:r w:rsidRPr="00CB5300">
        <w:rPr>
          <w:sz w:val="24"/>
          <w:szCs w:val="24"/>
        </w:rPr>
        <w:t xml:space="preserve"> no nome do</w:t>
      </w:r>
      <w:r>
        <w:rPr>
          <w:sz w:val="24"/>
          <w:szCs w:val="24"/>
        </w:rPr>
        <w:t>(s)</w:t>
      </w:r>
      <w:r w:rsidRPr="00CB5300">
        <w:rPr>
          <w:sz w:val="24"/>
          <w:szCs w:val="24"/>
        </w:rPr>
        <w:t xml:space="preserve"> ocupante (s) ou tit</w:t>
      </w:r>
      <w:r>
        <w:rPr>
          <w:sz w:val="24"/>
          <w:szCs w:val="24"/>
        </w:rPr>
        <w:t>ular (es) de domínio do imóvel e são instruídos basicamente com</w:t>
      </w:r>
      <w:r w:rsidRPr="00CB5300">
        <w:rPr>
          <w:sz w:val="24"/>
          <w:szCs w:val="24"/>
        </w:rPr>
        <w:t xml:space="preserve"> documentos que </w:t>
      </w:r>
      <w:r>
        <w:rPr>
          <w:sz w:val="24"/>
          <w:szCs w:val="24"/>
        </w:rPr>
        <w:t>comprovem a identificação deste</w:t>
      </w:r>
      <w:r w:rsidRPr="00CB5300">
        <w:rPr>
          <w:sz w:val="24"/>
          <w:szCs w:val="24"/>
        </w:rPr>
        <w:t xml:space="preserve"> proprietário ou ocupante, </w:t>
      </w:r>
      <w:r>
        <w:rPr>
          <w:sz w:val="24"/>
          <w:szCs w:val="24"/>
        </w:rPr>
        <w:t>a</w:t>
      </w:r>
      <w:r w:rsidRPr="00CB5300">
        <w:rPr>
          <w:sz w:val="24"/>
          <w:szCs w:val="24"/>
        </w:rPr>
        <w:t xml:space="preserve"> titularidade do imóvel ou ocupação, </w:t>
      </w:r>
      <w:r>
        <w:rPr>
          <w:sz w:val="24"/>
          <w:szCs w:val="24"/>
        </w:rPr>
        <w:t xml:space="preserve">a atualização do cadastro junto ao INCRA, com a </w:t>
      </w:r>
      <w:r w:rsidRPr="00CB5300">
        <w:rPr>
          <w:sz w:val="24"/>
          <w:szCs w:val="24"/>
        </w:rPr>
        <w:t xml:space="preserve">planta georreferenciada do imóvel e memorial descritivo </w:t>
      </w:r>
      <w:r>
        <w:rPr>
          <w:sz w:val="24"/>
          <w:szCs w:val="24"/>
        </w:rPr>
        <w:t xml:space="preserve"> e com apresentação de</w:t>
      </w:r>
      <w:r w:rsidRPr="00CB5300">
        <w:rPr>
          <w:sz w:val="24"/>
          <w:szCs w:val="24"/>
        </w:rPr>
        <w:t xml:space="preserve"> certid</w:t>
      </w:r>
      <w:r>
        <w:rPr>
          <w:sz w:val="24"/>
          <w:szCs w:val="24"/>
        </w:rPr>
        <w:t>ões</w:t>
      </w:r>
      <w:r w:rsidRPr="00CB5300">
        <w:rPr>
          <w:sz w:val="24"/>
          <w:szCs w:val="24"/>
        </w:rPr>
        <w:t xml:space="preserve"> negativa</w:t>
      </w:r>
      <w:r>
        <w:rPr>
          <w:sz w:val="24"/>
          <w:szCs w:val="24"/>
        </w:rPr>
        <w:t>s de débitos.</w:t>
      </w:r>
    </w:p>
    <w:p w:rsidR="0007255A" w:rsidRDefault="0007255A" w:rsidP="0007255A">
      <w:pPr>
        <w:ind w:firstLine="851"/>
        <w:jc w:val="both"/>
        <w:rPr>
          <w:sz w:val="24"/>
          <w:szCs w:val="24"/>
        </w:rPr>
      </w:pPr>
      <w:r>
        <w:rPr>
          <w:sz w:val="24"/>
          <w:szCs w:val="24"/>
        </w:rPr>
        <w:t>Para informações detalhadas, o ICMBio tem disponível a Cartilha de Regularização Fundiária de Unidades de Conservação Federais.</w:t>
      </w:r>
    </w:p>
    <w:p w:rsidR="0007255A" w:rsidRDefault="0007255A" w:rsidP="0007255A">
      <w:pPr>
        <w:ind w:firstLine="851"/>
        <w:jc w:val="both"/>
        <w:rPr>
          <w:sz w:val="24"/>
          <w:szCs w:val="24"/>
        </w:rPr>
      </w:pPr>
    </w:p>
    <w:p w:rsidR="0007255A" w:rsidRDefault="0007255A" w:rsidP="0007255A">
      <w:pPr>
        <w:ind w:firstLine="851"/>
        <w:jc w:val="both"/>
        <w:rPr>
          <w:b/>
          <w:sz w:val="24"/>
          <w:szCs w:val="24"/>
        </w:rPr>
      </w:pPr>
      <w:r w:rsidRPr="00F676C6">
        <w:rPr>
          <w:b/>
          <w:sz w:val="24"/>
          <w:szCs w:val="24"/>
        </w:rPr>
        <w:lastRenderedPageBreak/>
        <w:t>Compensação de Reserva Legal</w:t>
      </w:r>
    </w:p>
    <w:p w:rsidR="0007255A" w:rsidRPr="001C191C" w:rsidRDefault="0007255A" w:rsidP="0007255A">
      <w:pPr>
        <w:ind w:firstLine="851"/>
        <w:jc w:val="left"/>
        <w:rPr>
          <w:b/>
          <w:color w:val="000000" w:themeColor="text1"/>
          <w:sz w:val="24"/>
          <w:szCs w:val="24"/>
        </w:rPr>
      </w:pPr>
      <w:r w:rsidRPr="001C191C">
        <w:rPr>
          <w:color w:val="000000" w:themeColor="text1"/>
          <w:sz w:val="24"/>
          <w:szCs w:val="24"/>
        </w:rPr>
        <w:t>A Compensação de Reserva Legal - CRL é um dispositivo previsto no Código Florestal (Lei Federal n° 12.651/2012</w:t>
      </w:r>
      <w:r>
        <w:rPr>
          <w:color w:val="000000" w:themeColor="text1"/>
          <w:sz w:val="24"/>
          <w:szCs w:val="24"/>
        </w:rPr>
        <w:t xml:space="preserve">), por meio do qual as UC </w:t>
      </w:r>
      <w:r w:rsidRPr="001C191C">
        <w:rPr>
          <w:color w:val="000000" w:themeColor="text1"/>
          <w:sz w:val="24"/>
          <w:szCs w:val="24"/>
        </w:rPr>
        <w:t>de domínio público com pendência</w:t>
      </w:r>
      <w:r>
        <w:rPr>
          <w:color w:val="000000" w:themeColor="text1"/>
          <w:sz w:val="24"/>
          <w:szCs w:val="24"/>
        </w:rPr>
        <w:t>s</w:t>
      </w:r>
      <w:r w:rsidRPr="001C191C">
        <w:rPr>
          <w:color w:val="000000" w:themeColor="text1"/>
          <w:sz w:val="24"/>
          <w:szCs w:val="24"/>
        </w:rPr>
        <w:t xml:space="preserve"> de regularização fundiária podem receber, em doação, imóveis privados localizados em seu interior para fins de </w:t>
      </w:r>
      <w:r>
        <w:rPr>
          <w:color w:val="000000" w:themeColor="text1"/>
          <w:sz w:val="24"/>
          <w:szCs w:val="24"/>
        </w:rPr>
        <w:t>compensação de passivos relacionados às obrigações referentes à Reserva Legal</w:t>
      </w:r>
      <w:r w:rsidRPr="001C191C">
        <w:rPr>
          <w:color w:val="000000" w:themeColor="text1"/>
          <w:sz w:val="24"/>
          <w:szCs w:val="24"/>
        </w:rPr>
        <w:t xml:space="preserve"> de </w:t>
      </w:r>
      <w:r>
        <w:rPr>
          <w:color w:val="000000" w:themeColor="text1"/>
          <w:sz w:val="24"/>
          <w:szCs w:val="24"/>
        </w:rPr>
        <w:t xml:space="preserve">outros </w:t>
      </w:r>
      <w:r w:rsidRPr="001C191C">
        <w:rPr>
          <w:color w:val="000000" w:themeColor="text1"/>
          <w:sz w:val="24"/>
          <w:szCs w:val="24"/>
        </w:rPr>
        <w:t xml:space="preserve">imóveis fora </w:t>
      </w:r>
      <w:r>
        <w:rPr>
          <w:color w:val="000000" w:themeColor="text1"/>
          <w:sz w:val="24"/>
          <w:szCs w:val="24"/>
        </w:rPr>
        <w:t>de seus limites</w:t>
      </w:r>
      <w:r w:rsidRPr="001C191C">
        <w:rPr>
          <w:color w:val="000000" w:themeColor="text1"/>
          <w:sz w:val="24"/>
          <w:szCs w:val="24"/>
        </w:rPr>
        <w:t xml:space="preserve"> desde que sejam localizados no mesmo bioma. Nesse intuito o ICMBio, após análise técnica, emite certidão de habilitação do imóvel para este fim assegurando aos interessados</w:t>
      </w:r>
      <w:r>
        <w:rPr>
          <w:color w:val="000000" w:themeColor="text1"/>
          <w:sz w:val="24"/>
          <w:szCs w:val="24"/>
        </w:rPr>
        <w:t xml:space="preserve"> a legitimidade da transação do </w:t>
      </w:r>
      <w:r w:rsidRPr="001C191C">
        <w:rPr>
          <w:color w:val="000000" w:themeColor="text1"/>
          <w:sz w:val="24"/>
          <w:szCs w:val="24"/>
        </w:rPr>
        <w:t>imóvel.</w:t>
      </w:r>
    </w:p>
    <w:p w:rsidR="003211BD" w:rsidRDefault="003211BD" w:rsidP="003211BD"/>
    <w:p w:rsidR="0007255A" w:rsidRDefault="0007255A" w:rsidP="0007255A">
      <w:pPr>
        <w:ind w:firstLine="851"/>
        <w:jc w:val="both"/>
        <w:rPr>
          <w:sz w:val="24"/>
          <w:szCs w:val="24"/>
        </w:rPr>
      </w:pPr>
    </w:p>
    <w:p w:rsidR="0007255A" w:rsidRPr="00D24CF4" w:rsidRDefault="0007255A" w:rsidP="00AA00E6">
      <w:pPr>
        <w:ind w:firstLine="851"/>
        <w:jc w:val="both"/>
        <w:rPr>
          <w:b/>
          <w:sz w:val="24"/>
          <w:szCs w:val="24"/>
        </w:rPr>
      </w:pPr>
      <w:r w:rsidRPr="00D24CF4">
        <w:rPr>
          <w:b/>
          <w:sz w:val="24"/>
          <w:szCs w:val="24"/>
        </w:rPr>
        <w:t>Desapropriação e indenização</w:t>
      </w:r>
    </w:p>
    <w:p w:rsidR="0007255A" w:rsidRPr="00CB5300" w:rsidRDefault="0007255A" w:rsidP="0007255A">
      <w:pPr>
        <w:ind w:firstLine="851"/>
        <w:jc w:val="both"/>
        <w:rPr>
          <w:sz w:val="24"/>
          <w:szCs w:val="24"/>
        </w:rPr>
      </w:pPr>
      <w:r>
        <w:rPr>
          <w:color w:val="1A1A1A"/>
          <w:sz w:val="25"/>
          <w:szCs w:val="25"/>
          <w:shd w:val="clear" w:color="auto" w:fill="FFFFFF"/>
        </w:rPr>
        <w:t>No caso de não haver interesse ou potencial de regularização de suas áreas por meio da CRL, as UC devem indenizar benfeitorias (quando tratar-se de posses</w:t>
      </w:r>
      <w:r w:rsidR="00AA00E6">
        <w:rPr>
          <w:color w:val="1A1A1A"/>
          <w:sz w:val="25"/>
          <w:szCs w:val="25"/>
          <w:shd w:val="clear" w:color="auto" w:fill="FFFFFF"/>
        </w:rPr>
        <w:t xml:space="preserve"> e ocupações</w:t>
      </w:r>
      <w:r>
        <w:rPr>
          <w:color w:val="1A1A1A"/>
          <w:sz w:val="25"/>
          <w:szCs w:val="25"/>
          <w:shd w:val="clear" w:color="auto" w:fill="FFFFFF"/>
        </w:rPr>
        <w:t>) e desapropriar imóveis rurais (quando tratar-se de propriedade devidamente registrada) localizados em seus limites. A desapropriação ou indenização deverá ocorrer mediante acordo ou transcorrer judicialmente, tendo como fundamentos diferentes análises técnicas e jurídicas para</w:t>
      </w:r>
      <w:r w:rsidRPr="00CB5300">
        <w:rPr>
          <w:sz w:val="24"/>
          <w:szCs w:val="24"/>
        </w:rPr>
        <w:t xml:space="preserve"> avaliação</w:t>
      </w:r>
      <w:r>
        <w:rPr>
          <w:sz w:val="24"/>
          <w:szCs w:val="24"/>
        </w:rPr>
        <w:t xml:space="preserve"> dos valores envolvidos.</w:t>
      </w:r>
    </w:p>
    <w:p w:rsidR="0007255A" w:rsidRDefault="0007255A" w:rsidP="00F676C6">
      <w:pPr>
        <w:jc w:val="both"/>
        <w:rPr>
          <w:color w:val="000000"/>
          <w:sz w:val="24"/>
          <w:szCs w:val="24"/>
        </w:rPr>
      </w:pPr>
    </w:p>
    <w:p w:rsidR="0007255A" w:rsidRDefault="0007255A" w:rsidP="00F676C6">
      <w:pPr>
        <w:jc w:val="both"/>
        <w:rPr>
          <w:color w:val="000000"/>
          <w:sz w:val="24"/>
          <w:szCs w:val="24"/>
        </w:rPr>
      </w:pPr>
    </w:p>
    <w:p w:rsidR="00F676C6" w:rsidRPr="00F676C6" w:rsidRDefault="00F676C6" w:rsidP="00F676C6">
      <w:pPr>
        <w:jc w:val="both"/>
        <w:rPr>
          <w:b/>
          <w:color w:val="000000"/>
          <w:sz w:val="24"/>
          <w:szCs w:val="24"/>
        </w:rPr>
      </w:pPr>
      <w:r w:rsidRPr="00F676C6">
        <w:rPr>
          <w:b/>
          <w:color w:val="000000"/>
          <w:sz w:val="24"/>
          <w:szCs w:val="24"/>
        </w:rPr>
        <w:t>A criação da REBIO Bom Jesus e a questão fundiária</w:t>
      </w:r>
    </w:p>
    <w:p w:rsidR="00F676C6" w:rsidRDefault="00F676C6" w:rsidP="00F676C6">
      <w:pPr>
        <w:jc w:val="both"/>
        <w:rPr>
          <w:color w:val="000000"/>
          <w:sz w:val="24"/>
          <w:szCs w:val="24"/>
        </w:rPr>
      </w:pPr>
    </w:p>
    <w:p w:rsidR="006939BA" w:rsidRPr="00A05A49" w:rsidRDefault="006939BA" w:rsidP="006939BA">
      <w:pPr>
        <w:ind w:firstLine="851"/>
        <w:jc w:val="both"/>
        <w:rPr>
          <w:color w:val="000000"/>
          <w:sz w:val="24"/>
          <w:szCs w:val="24"/>
        </w:rPr>
      </w:pPr>
      <w:r w:rsidRPr="00A05A49">
        <w:rPr>
          <w:color w:val="000000"/>
          <w:sz w:val="24"/>
          <w:szCs w:val="24"/>
        </w:rPr>
        <w:t xml:space="preserve">A </w:t>
      </w:r>
      <w:r>
        <w:rPr>
          <w:color w:val="000000"/>
          <w:sz w:val="24"/>
          <w:szCs w:val="24"/>
        </w:rPr>
        <w:t xml:space="preserve">proposta de criação </w:t>
      </w:r>
      <w:r w:rsidRPr="00A05A49">
        <w:rPr>
          <w:color w:val="000000"/>
          <w:sz w:val="24"/>
          <w:szCs w:val="24"/>
        </w:rPr>
        <w:t>origem da R</w:t>
      </w:r>
      <w:r>
        <w:rPr>
          <w:color w:val="000000"/>
          <w:sz w:val="24"/>
          <w:szCs w:val="24"/>
        </w:rPr>
        <w:t>EBIO</w:t>
      </w:r>
      <w:r w:rsidRPr="00A05A49">
        <w:rPr>
          <w:color w:val="000000"/>
          <w:sz w:val="24"/>
          <w:szCs w:val="24"/>
        </w:rPr>
        <w:t xml:space="preserve"> Bom Jesus </w:t>
      </w:r>
      <w:r>
        <w:rPr>
          <w:color w:val="000000"/>
          <w:sz w:val="24"/>
          <w:szCs w:val="24"/>
        </w:rPr>
        <w:t xml:space="preserve">tem origem no </w:t>
      </w:r>
      <w:r w:rsidR="003B7B25">
        <w:rPr>
          <w:color w:val="000000"/>
          <w:sz w:val="24"/>
          <w:szCs w:val="24"/>
        </w:rPr>
        <w:t xml:space="preserve">recebimento </w:t>
      </w:r>
      <w:r w:rsidR="003B7B25" w:rsidRPr="00A05A49">
        <w:rPr>
          <w:color w:val="000000"/>
          <w:sz w:val="24"/>
          <w:szCs w:val="24"/>
        </w:rPr>
        <w:t>ao Patrimônio da União</w:t>
      </w:r>
      <w:r w:rsidR="003B7B25">
        <w:rPr>
          <w:color w:val="000000"/>
          <w:sz w:val="24"/>
          <w:szCs w:val="24"/>
        </w:rPr>
        <w:t xml:space="preserve"> de </w:t>
      </w:r>
      <w:r w:rsidR="003B7B25" w:rsidRPr="00A05A49">
        <w:rPr>
          <w:color w:val="000000"/>
          <w:sz w:val="24"/>
          <w:szCs w:val="24"/>
        </w:rPr>
        <w:t>dois imóveis</w:t>
      </w:r>
      <w:r w:rsidR="003B7B25">
        <w:rPr>
          <w:color w:val="000000"/>
          <w:sz w:val="24"/>
          <w:szCs w:val="24"/>
        </w:rPr>
        <w:t xml:space="preserve"> (fazendas)</w:t>
      </w:r>
      <w:r w:rsidR="003B7B25" w:rsidRPr="00A05A49">
        <w:rPr>
          <w:color w:val="000000"/>
          <w:sz w:val="24"/>
          <w:szCs w:val="24"/>
        </w:rPr>
        <w:t xml:space="preserve"> localizados na </w:t>
      </w:r>
      <w:r w:rsidR="003B7B25">
        <w:rPr>
          <w:color w:val="000000"/>
          <w:sz w:val="24"/>
          <w:szCs w:val="24"/>
        </w:rPr>
        <w:t>APA de Guaraqueçaba. Decorrente do</w:t>
      </w:r>
      <w:r w:rsidR="003B7B25" w:rsidRPr="00A05A49">
        <w:rPr>
          <w:color w:val="000000"/>
          <w:sz w:val="24"/>
          <w:szCs w:val="24"/>
        </w:rPr>
        <w:t xml:space="preserve"> </w:t>
      </w:r>
      <w:r w:rsidRPr="00A05A49">
        <w:rPr>
          <w:color w:val="000000"/>
          <w:sz w:val="24"/>
          <w:szCs w:val="24"/>
        </w:rPr>
        <w:t xml:space="preserve">encerramento das operações do Banco Bamerindus S.A, </w:t>
      </w:r>
      <w:r w:rsidR="003B7B25">
        <w:rPr>
          <w:color w:val="000000"/>
          <w:sz w:val="24"/>
          <w:szCs w:val="24"/>
        </w:rPr>
        <w:t>esse recebimento ocorreu como forma de pagamento de dívidas do banco</w:t>
      </w:r>
      <w:r w:rsidRPr="00A05A49">
        <w:rPr>
          <w:color w:val="000000"/>
          <w:sz w:val="24"/>
          <w:szCs w:val="24"/>
        </w:rPr>
        <w:t xml:space="preserve"> com o Governo Federal. </w:t>
      </w:r>
      <w:r w:rsidR="003B7B25">
        <w:rPr>
          <w:sz w:val="24"/>
          <w:szCs w:val="24"/>
        </w:rPr>
        <w:t>Por</w:t>
      </w:r>
      <w:r w:rsidR="003B7B25" w:rsidRPr="00A05A49">
        <w:rPr>
          <w:sz w:val="24"/>
          <w:szCs w:val="24"/>
        </w:rPr>
        <w:t xml:space="preserve"> se tratarem de propriedades constituídas por florestas naturais, em regiões predominantemente montanhosas, localizadas </w:t>
      </w:r>
      <w:r w:rsidR="003B7B25">
        <w:rPr>
          <w:sz w:val="24"/>
          <w:szCs w:val="24"/>
        </w:rPr>
        <w:t>UC federal,</w:t>
      </w:r>
      <w:r w:rsidR="003B7B25" w:rsidRPr="00A05A49">
        <w:rPr>
          <w:sz w:val="24"/>
          <w:szCs w:val="24"/>
        </w:rPr>
        <w:t xml:space="preserve"> </w:t>
      </w:r>
      <w:r w:rsidRPr="00A05A49">
        <w:rPr>
          <w:color w:val="000000"/>
          <w:sz w:val="24"/>
          <w:szCs w:val="24"/>
        </w:rPr>
        <w:t>a</w:t>
      </w:r>
      <w:r w:rsidRPr="00A05A49">
        <w:rPr>
          <w:sz w:val="24"/>
          <w:szCs w:val="24"/>
        </w:rPr>
        <w:t xml:space="preserve"> Secretaria do Patrimônio da União, </w:t>
      </w:r>
      <w:r w:rsidR="003B7B25">
        <w:rPr>
          <w:sz w:val="24"/>
          <w:szCs w:val="24"/>
        </w:rPr>
        <w:t>transferiu</w:t>
      </w:r>
      <w:r w:rsidRPr="00A05A49">
        <w:rPr>
          <w:sz w:val="24"/>
          <w:szCs w:val="24"/>
        </w:rPr>
        <w:t xml:space="preserve"> a gestão dos referidos imóveis ao </w:t>
      </w:r>
      <w:r w:rsidR="0063242F">
        <w:rPr>
          <w:sz w:val="24"/>
          <w:szCs w:val="24"/>
        </w:rPr>
        <w:t>MMA</w:t>
      </w:r>
      <w:r w:rsidR="003B7B25">
        <w:rPr>
          <w:sz w:val="24"/>
          <w:szCs w:val="24"/>
        </w:rPr>
        <w:t xml:space="preserve">. </w:t>
      </w:r>
      <w:r w:rsidRPr="00A05A49">
        <w:rPr>
          <w:sz w:val="24"/>
          <w:szCs w:val="24"/>
        </w:rPr>
        <w:t xml:space="preserve"> </w:t>
      </w:r>
      <w:r w:rsidR="003B7B25">
        <w:rPr>
          <w:sz w:val="24"/>
          <w:szCs w:val="24"/>
        </w:rPr>
        <w:t>A então denominada</w:t>
      </w:r>
      <w:r>
        <w:rPr>
          <w:sz w:val="24"/>
          <w:szCs w:val="24"/>
        </w:rPr>
        <w:t xml:space="preserve"> Fazenda Bom Jesus possuía</w:t>
      </w:r>
      <w:r w:rsidR="003B7B25">
        <w:rPr>
          <w:sz w:val="24"/>
          <w:szCs w:val="24"/>
        </w:rPr>
        <w:t xml:space="preserve"> cerca de 5.900 hectares </w:t>
      </w:r>
      <w:r w:rsidRPr="00A05A49">
        <w:rPr>
          <w:sz w:val="24"/>
          <w:szCs w:val="24"/>
        </w:rPr>
        <w:t>dividid</w:t>
      </w:r>
      <w:r w:rsidR="003B7B25">
        <w:rPr>
          <w:sz w:val="24"/>
          <w:szCs w:val="24"/>
        </w:rPr>
        <w:t>os</w:t>
      </w:r>
      <w:r w:rsidRPr="00A05A49">
        <w:rPr>
          <w:sz w:val="24"/>
          <w:szCs w:val="24"/>
        </w:rPr>
        <w:t xml:space="preserve"> em duas </w:t>
      </w:r>
      <w:r w:rsidR="003B7B25">
        <w:rPr>
          <w:sz w:val="24"/>
          <w:szCs w:val="24"/>
        </w:rPr>
        <w:t>glebas</w:t>
      </w:r>
      <w:r w:rsidRPr="00A05A49">
        <w:rPr>
          <w:sz w:val="24"/>
          <w:szCs w:val="24"/>
        </w:rPr>
        <w:t>, de 5.690 e 210 h</w:t>
      </w:r>
      <w:r>
        <w:rPr>
          <w:sz w:val="24"/>
          <w:szCs w:val="24"/>
        </w:rPr>
        <w:t>ectares</w:t>
      </w:r>
      <w:r w:rsidRPr="00A05A49">
        <w:rPr>
          <w:sz w:val="24"/>
          <w:szCs w:val="24"/>
        </w:rPr>
        <w:t xml:space="preserve"> cada, localizadas entre os municípios de </w:t>
      </w:r>
      <w:r w:rsidRPr="00A05A49">
        <w:rPr>
          <w:sz w:val="24"/>
          <w:szCs w:val="24"/>
        </w:rPr>
        <w:lastRenderedPageBreak/>
        <w:t xml:space="preserve">Antonina e Guaraqueçaba, </w:t>
      </w:r>
      <w:r w:rsidR="003B7B25">
        <w:rPr>
          <w:sz w:val="24"/>
          <w:szCs w:val="24"/>
        </w:rPr>
        <w:t>nas localidades conhecidas como Cedro, Potinga e Tagaçaba.</w:t>
      </w:r>
      <w:r w:rsidR="003039C5">
        <w:rPr>
          <w:sz w:val="24"/>
          <w:szCs w:val="24"/>
        </w:rPr>
        <w:t xml:space="preserve"> Os estudos de criação da REBIO Bom Jesus conduzidos pelo MMA identificaram </w:t>
      </w:r>
      <w:r w:rsidR="0063242F">
        <w:rPr>
          <w:sz w:val="24"/>
          <w:szCs w:val="24"/>
        </w:rPr>
        <w:t xml:space="preserve">em campo </w:t>
      </w:r>
      <w:r w:rsidR="003039C5">
        <w:rPr>
          <w:sz w:val="24"/>
          <w:szCs w:val="24"/>
        </w:rPr>
        <w:t>muitas outras áreas florestadas de interesse para conservação adjacentes à Fazenda Bom Jesus que justificavam a ampliação da proposta inicial. Tratavam-se de áreas de Mata Atlântica em bom estado de conservação, cuja vegetação já estava protegida legalmente, com excelente potencial de conectividade com outras áreas protegidas. Assim, em 5 de junho de 2012 a REBIO foi criada com 34.500 ha.</w:t>
      </w:r>
      <w:r w:rsidR="0063242F">
        <w:rPr>
          <w:sz w:val="24"/>
          <w:szCs w:val="24"/>
        </w:rPr>
        <w:t xml:space="preserve"> </w:t>
      </w:r>
      <w:r w:rsidR="00F676C6">
        <w:rPr>
          <w:sz w:val="24"/>
          <w:szCs w:val="24"/>
        </w:rPr>
        <w:t xml:space="preserve">O grau de conservação da área pode ser atestado pela análise dos mapas de uso do solo que indicam uma área de apenas XXX da REBIO como locais com algum grau de atividade agrícola ou antropizada de algum outro modo. </w:t>
      </w:r>
      <w:r w:rsidR="0063242F" w:rsidRPr="0063242F">
        <w:rPr>
          <w:sz w:val="24"/>
          <w:szCs w:val="24"/>
          <w:highlight w:val="yellow"/>
        </w:rPr>
        <w:t>ÁREA DA REBIO COM ALTERAÇÃO DO USO</w:t>
      </w:r>
    </w:p>
    <w:p w:rsidR="006939BA" w:rsidRPr="00A05A49" w:rsidRDefault="003039C5" w:rsidP="006939BA">
      <w:pPr>
        <w:ind w:firstLine="851"/>
        <w:jc w:val="both"/>
        <w:rPr>
          <w:color w:val="000000"/>
          <w:sz w:val="24"/>
          <w:szCs w:val="24"/>
        </w:rPr>
      </w:pPr>
      <w:r>
        <w:rPr>
          <w:color w:val="000000"/>
          <w:sz w:val="24"/>
          <w:szCs w:val="24"/>
        </w:rPr>
        <w:t>Seu</w:t>
      </w:r>
      <w:r w:rsidR="006939BA" w:rsidRPr="00A05A49">
        <w:rPr>
          <w:color w:val="000000"/>
          <w:sz w:val="24"/>
          <w:szCs w:val="24"/>
        </w:rPr>
        <w:t xml:space="preserve"> decreto de criação torna automaticamente </w:t>
      </w:r>
      <w:r w:rsidRPr="00A05A49">
        <w:rPr>
          <w:color w:val="000000"/>
          <w:sz w:val="24"/>
          <w:szCs w:val="24"/>
        </w:rPr>
        <w:t xml:space="preserve">como de utilidade pública </w:t>
      </w:r>
      <w:r w:rsidR="006939BA" w:rsidRPr="00A05A49">
        <w:rPr>
          <w:color w:val="000000"/>
          <w:sz w:val="24"/>
          <w:szCs w:val="24"/>
        </w:rPr>
        <w:t xml:space="preserve">os imóveis rurais existentes </w:t>
      </w:r>
      <w:r>
        <w:rPr>
          <w:color w:val="000000"/>
          <w:sz w:val="24"/>
          <w:szCs w:val="24"/>
        </w:rPr>
        <w:t xml:space="preserve">em seu interior </w:t>
      </w:r>
      <w:r w:rsidR="006939BA" w:rsidRPr="00A05A49">
        <w:rPr>
          <w:color w:val="000000"/>
          <w:sz w:val="24"/>
          <w:szCs w:val="24"/>
        </w:rPr>
        <w:t>para fins de desapropriação</w:t>
      </w:r>
      <w:r w:rsidRPr="003039C5">
        <w:rPr>
          <w:color w:val="000000"/>
          <w:sz w:val="24"/>
          <w:szCs w:val="24"/>
        </w:rPr>
        <w:t xml:space="preserve"> </w:t>
      </w:r>
      <w:r w:rsidR="00AA00E6">
        <w:rPr>
          <w:color w:val="000000"/>
          <w:sz w:val="24"/>
          <w:szCs w:val="24"/>
        </w:rPr>
        <w:t>remetendo-se a</w:t>
      </w:r>
      <w:r>
        <w:rPr>
          <w:color w:val="000000"/>
          <w:sz w:val="24"/>
          <w:szCs w:val="24"/>
        </w:rPr>
        <w:t xml:space="preserve"> dispositivo</w:t>
      </w:r>
      <w:r w:rsidR="00AA00E6">
        <w:rPr>
          <w:color w:val="000000"/>
          <w:sz w:val="24"/>
          <w:szCs w:val="24"/>
        </w:rPr>
        <w:t>s legais</w:t>
      </w:r>
      <w:r>
        <w:rPr>
          <w:color w:val="000000"/>
          <w:sz w:val="24"/>
          <w:szCs w:val="24"/>
        </w:rPr>
        <w:t xml:space="preserve"> de</w:t>
      </w:r>
      <w:r w:rsidRPr="00A05A49">
        <w:rPr>
          <w:color w:val="000000"/>
          <w:sz w:val="24"/>
          <w:szCs w:val="24"/>
        </w:rPr>
        <w:t xml:space="preserve"> proteção de paisagens e locais particularmente dotados pela natureza</w:t>
      </w:r>
      <w:r w:rsidR="006939BA" w:rsidRPr="00A05A49">
        <w:rPr>
          <w:color w:val="000000"/>
          <w:sz w:val="24"/>
          <w:szCs w:val="24"/>
        </w:rPr>
        <w:t xml:space="preserve">. </w:t>
      </w:r>
    </w:p>
    <w:p w:rsidR="006939BA" w:rsidRDefault="006939BA" w:rsidP="006939BA">
      <w:pPr>
        <w:spacing w:line="240" w:lineRule="auto"/>
        <w:jc w:val="left"/>
        <w:rPr>
          <w:b/>
          <w:bCs/>
          <w:caps/>
          <w:kern w:val="32"/>
          <w:sz w:val="24"/>
          <w:szCs w:val="24"/>
        </w:rPr>
      </w:pPr>
    </w:p>
    <w:p w:rsidR="006939BA" w:rsidRDefault="006939BA" w:rsidP="006939BA">
      <w:pPr>
        <w:spacing w:line="240" w:lineRule="auto"/>
        <w:jc w:val="left"/>
        <w:rPr>
          <w:b/>
          <w:bCs/>
          <w:caps/>
          <w:kern w:val="32"/>
          <w:sz w:val="24"/>
          <w:szCs w:val="24"/>
        </w:rPr>
      </w:pPr>
    </w:p>
    <w:p w:rsidR="006939BA" w:rsidRDefault="006939BA" w:rsidP="006939BA">
      <w:pPr>
        <w:spacing w:line="240" w:lineRule="auto"/>
        <w:jc w:val="left"/>
      </w:pPr>
    </w:p>
    <w:p w:rsidR="006939BA" w:rsidRDefault="006939BA" w:rsidP="006939BA">
      <w:pPr>
        <w:spacing w:line="240" w:lineRule="auto"/>
        <w:jc w:val="left"/>
      </w:pPr>
    </w:p>
    <w:p w:rsidR="006939BA" w:rsidRPr="000F250E" w:rsidRDefault="006939BA" w:rsidP="00AA00E6">
      <w:pPr>
        <w:pStyle w:val="Ttulo3CerroAzul"/>
        <w:numPr>
          <w:ilvl w:val="0"/>
          <w:numId w:val="0"/>
        </w:numPr>
        <w:ind w:left="720" w:hanging="720"/>
      </w:pPr>
      <w:bookmarkStart w:id="6" w:name="_Toc466917657"/>
      <w:bookmarkStart w:id="7" w:name="_Toc473479452"/>
      <w:r w:rsidRPr="000F250E">
        <w:t>Situação fundiária</w:t>
      </w:r>
      <w:bookmarkEnd w:id="6"/>
      <w:bookmarkEnd w:id="7"/>
      <w:r w:rsidR="004B1AE5">
        <w:t xml:space="preserve"> da REBIO Bom Jesus</w:t>
      </w:r>
    </w:p>
    <w:p w:rsidR="00AA00E6" w:rsidRDefault="00AA00E6" w:rsidP="006939BA">
      <w:pPr>
        <w:ind w:firstLine="851"/>
        <w:jc w:val="both"/>
        <w:rPr>
          <w:sz w:val="24"/>
          <w:szCs w:val="24"/>
        </w:rPr>
      </w:pPr>
      <w:r>
        <w:rPr>
          <w:sz w:val="24"/>
          <w:szCs w:val="24"/>
        </w:rPr>
        <w:t>Estudos contratados pelo MMA mapearam dezenas de posses ou propriedades no inseridas total ou parcialmente no interior da UC, com diferentes níveis de identificação de seus proprietários. Muitas das propriedades pertencem a empresas com alguma relação com à indústria madeireir</w:t>
      </w:r>
      <w:r>
        <w:rPr>
          <w:sz w:val="24"/>
          <w:szCs w:val="24"/>
        </w:rPr>
        <w:t>a e de outros produtos florestais, incentivadas a se instalarem na região na década de XX (ver tópico XXX).</w:t>
      </w:r>
    </w:p>
    <w:p w:rsidR="003211BD" w:rsidRDefault="004B1AE5" w:rsidP="006939BA">
      <w:pPr>
        <w:ind w:firstLine="851"/>
        <w:jc w:val="both"/>
        <w:rPr>
          <w:sz w:val="24"/>
          <w:szCs w:val="24"/>
        </w:rPr>
      </w:pPr>
      <w:r>
        <w:rPr>
          <w:sz w:val="24"/>
          <w:szCs w:val="24"/>
        </w:rPr>
        <w:t xml:space="preserve">Em 2017, </w:t>
      </w:r>
      <w:r w:rsidR="006939BA" w:rsidRPr="005917C9">
        <w:rPr>
          <w:sz w:val="24"/>
          <w:szCs w:val="24"/>
        </w:rPr>
        <w:t>processos administrativos</w:t>
      </w:r>
      <w:r w:rsidR="003211BD" w:rsidRPr="003211BD">
        <w:rPr>
          <w:sz w:val="24"/>
          <w:szCs w:val="24"/>
        </w:rPr>
        <w:t xml:space="preserve"> </w:t>
      </w:r>
      <w:r w:rsidR="003211BD">
        <w:rPr>
          <w:sz w:val="24"/>
          <w:szCs w:val="24"/>
        </w:rPr>
        <w:t>relativos à regularização fundiária</w:t>
      </w:r>
      <w:r w:rsidR="003211BD" w:rsidRPr="003211BD">
        <w:rPr>
          <w:sz w:val="24"/>
          <w:szCs w:val="24"/>
        </w:rPr>
        <w:t xml:space="preserve"> </w:t>
      </w:r>
      <w:r w:rsidR="003211BD">
        <w:rPr>
          <w:sz w:val="24"/>
          <w:szCs w:val="24"/>
        </w:rPr>
        <w:t>de áreas no interior da REBIO Bom Jesus</w:t>
      </w:r>
      <w:r>
        <w:rPr>
          <w:sz w:val="24"/>
          <w:szCs w:val="24"/>
        </w:rPr>
        <w:t>,</w:t>
      </w:r>
      <w:r w:rsidR="006939BA" w:rsidRPr="005917C9">
        <w:rPr>
          <w:sz w:val="24"/>
          <w:szCs w:val="24"/>
        </w:rPr>
        <w:t xml:space="preserve"> </w:t>
      </w:r>
      <w:r>
        <w:rPr>
          <w:sz w:val="24"/>
          <w:szCs w:val="24"/>
        </w:rPr>
        <w:t>em diferentes graus de instrução, correspondia</w:t>
      </w:r>
      <w:r w:rsidR="006939BA" w:rsidRPr="005917C9">
        <w:rPr>
          <w:sz w:val="24"/>
          <w:szCs w:val="24"/>
        </w:rPr>
        <w:t xml:space="preserve">m </w:t>
      </w:r>
      <w:r>
        <w:rPr>
          <w:sz w:val="24"/>
          <w:szCs w:val="24"/>
        </w:rPr>
        <w:t>a mais de 14 mil hectares, ou aproximadamente 41</w:t>
      </w:r>
      <w:r w:rsidRPr="005917C9">
        <w:rPr>
          <w:sz w:val="24"/>
          <w:szCs w:val="24"/>
        </w:rPr>
        <w:t>,</w:t>
      </w:r>
      <w:r>
        <w:rPr>
          <w:sz w:val="24"/>
          <w:szCs w:val="24"/>
        </w:rPr>
        <w:t>16% de sua</w:t>
      </w:r>
      <w:r w:rsidRPr="005917C9">
        <w:rPr>
          <w:sz w:val="24"/>
          <w:szCs w:val="24"/>
        </w:rPr>
        <w:t xml:space="preserve"> área total</w:t>
      </w:r>
      <w:r>
        <w:rPr>
          <w:sz w:val="24"/>
          <w:szCs w:val="24"/>
        </w:rPr>
        <w:t>.</w:t>
      </w:r>
      <w:r w:rsidRPr="005917C9">
        <w:rPr>
          <w:sz w:val="24"/>
          <w:szCs w:val="24"/>
        </w:rPr>
        <w:t xml:space="preserve"> </w:t>
      </w:r>
      <w:bookmarkStart w:id="8" w:name="_GoBack"/>
      <w:bookmarkEnd w:id="8"/>
    </w:p>
    <w:p w:rsidR="00AA00E6" w:rsidRDefault="00AA00E6" w:rsidP="00AA00E6">
      <w:pPr>
        <w:jc w:val="both"/>
        <w:rPr>
          <w:sz w:val="24"/>
          <w:szCs w:val="24"/>
        </w:rPr>
      </w:pPr>
    </w:p>
    <w:p w:rsidR="00AA00E6" w:rsidRPr="00AA00E6" w:rsidRDefault="00AA00E6" w:rsidP="00AA00E6">
      <w:pPr>
        <w:jc w:val="both"/>
        <w:rPr>
          <w:b/>
          <w:sz w:val="24"/>
          <w:szCs w:val="24"/>
        </w:rPr>
      </w:pPr>
      <w:r w:rsidRPr="00AA00E6">
        <w:rPr>
          <w:b/>
          <w:sz w:val="24"/>
          <w:szCs w:val="24"/>
        </w:rPr>
        <w:t>Situação Fundiária da ESEC Guaraqueçaba</w:t>
      </w:r>
    </w:p>
    <w:p w:rsidR="00AA00E6" w:rsidRDefault="00AA00E6" w:rsidP="00AA00E6">
      <w:pPr>
        <w:jc w:val="both"/>
        <w:rPr>
          <w:sz w:val="24"/>
          <w:szCs w:val="24"/>
        </w:rPr>
      </w:pPr>
      <w:r w:rsidRPr="00AA00E6">
        <w:rPr>
          <w:sz w:val="24"/>
          <w:szCs w:val="24"/>
          <w:highlight w:val="yellow"/>
        </w:rPr>
        <w:t>DESENVOLVER</w:t>
      </w:r>
    </w:p>
    <w:p w:rsidR="00AA00E6" w:rsidRDefault="00AA00E6" w:rsidP="00AA00E6">
      <w:pPr>
        <w:jc w:val="both"/>
        <w:rPr>
          <w:sz w:val="24"/>
          <w:szCs w:val="24"/>
        </w:rPr>
      </w:pPr>
      <w:r>
        <w:rPr>
          <w:sz w:val="24"/>
          <w:szCs w:val="24"/>
        </w:rPr>
        <w:lastRenderedPageBreak/>
        <w:t xml:space="preserve">A ESEC Guaraqueçaba, pela natureza de sua criação, ocupa porções esparsas de mangue ao longo da costa e em ilhas de Guaraqueçaba, Antonina e Paranaguá. O manguezal é um ecossistema intimamente associado ao litoral e seus terrenos costumam ser considerados bens da Marinha ou da União. Isso significa que, em tese, pouco há de se regularizar na questão fundiária. Eventuais titulações, posses e ocupações incidentes em seus limites deverão receber as mesmas tratativas previstas para as demais UC de proteção integral. </w:t>
      </w:r>
    </w:p>
    <w:p w:rsidR="006939BA" w:rsidRDefault="006939BA" w:rsidP="006939BA">
      <w:pPr>
        <w:ind w:firstLine="851"/>
        <w:jc w:val="both"/>
        <w:rPr>
          <w:color w:val="000000" w:themeColor="text1"/>
          <w:sz w:val="24"/>
          <w:szCs w:val="24"/>
        </w:rPr>
      </w:pPr>
    </w:p>
    <w:sectPr w:rsidR="006939BA">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FE5" w:rsidRDefault="00C81FE5" w:rsidP="006939BA">
      <w:pPr>
        <w:spacing w:line="240" w:lineRule="auto"/>
      </w:pPr>
      <w:r>
        <w:separator/>
      </w:r>
    </w:p>
  </w:endnote>
  <w:endnote w:type="continuationSeparator" w:id="0">
    <w:p w:rsidR="00C81FE5" w:rsidRDefault="00C81FE5" w:rsidP="006939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FE5" w:rsidRDefault="00C81FE5" w:rsidP="006939BA">
      <w:pPr>
        <w:spacing w:line="240" w:lineRule="auto"/>
      </w:pPr>
      <w:r>
        <w:separator/>
      </w:r>
    </w:p>
  </w:footnote>
  <w:footnote w:type="continuationSeparator" w:id="0">
    <w:p w:rsidR="00C81FE5" w:rsidRDefault="00C81FE5" w:rsidP="006939B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2315C"/>
    <w:multiLevelType w:val="multilevel"/>
    <w:tmpl w:val="98A4337E"/>
    <w:lvl w:ilvl="0">
      <w:start w:val="1"/>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60F6380"/>
    <w:multiLevelType w:val="multilevel"/>
    <w:tmpl w:val="B9E881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860"/>
        </w:tabs>
        <w:ind w:left="860" w:hanging="576"/>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Ttulo3"/>
      <w:lvlText w:val="%1.%2.%3."/>
      <w:lvlJc w:val="left"/>
      <w:pPr>
        <w:tabs>
          <w:tab w:val="num" w:pos="1571"/>
        </w:tabs>
        <w:ind w:left="1571" w:hanging="720"/>
      </w:pPr>
      <w:rPr>
        <w:rFonts w:hint="default"/>
      </w:rPr>
    </w:lvl>
    <w:lvl w:ilvl="3">
      <w:start w:val="1"/>
      <w:numFmt w:val="decimal"/>
      <w:pStyle w:val="Ttulo4"/>
      <w:lvlText w:val="%1.%2.%3.%4."/>
      <w:lvlJc w:val="left"/>
      <w:pPr>
        <w:tabs>
          <w:tab w:val="num" w:pos="864"/>
        </w:tabs>
        <w:ind w:left="864" w:hanging="864"/>
      </w:pPr>
      <w:rPr>
        <w:rFonts w:hint="default"/>
        <w:sz w:val="24"/>
        <w:szCs w:val="24"/>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9BA"/>
    <w:rsid w:val="0007255A"/>
    <w:rsid w:val="001C191C"/>
    <w:rsid w:val="003039C5"/>
    <w:rsid w:val="003211BD"/>
    <w:rsid w:val="00365AE1"/>
    <w:rsid w:val="003B2076"/>
    <w:rsid w:val="003B7B25"/>
    <w:rsid w:val="004B1AE5"/>
    <w:rsid w:val="0061387A"/>
    <w:rsid w:val="0063242F"/>
    <w:rsid w:val="006939BA"/>
    <w:rsid w:val="00AA00E6"/>
    <w:rsid w:val="00C81FE5"/>
    <w:rsid w:val="00D24CF4"/>
    <w:rsid w:val="00DF0C38"/>
    <w:rsid w:val="00F676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1ED530-A1E0-4353-B615-80810DEB7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39BA"/>
    <w:pPr>
      <w:spacing w:after="0" w:line="360" w:lineRule="auto"/>
      <w:jc w:val="center"/>
    </w:pPr>
    <w:rPr>
      <w:rFonts w:ascii="Arial" w:eastAsia="Times New Roman" w:hAnsi="Arial" w:cs="Arial"/>
      <w:sz w:val="20"/>
      <w:szCs w:val="20"/>
      <w:lang w:eastAsia="pt-BR"/>
    </w:rPr>
  </w:style>
  <w:style w:type="paragraph" w:styleId="Ttulo1">
    <w:name w:val="heading 1"/>
    <w:basedOn w:val="Normal"/>
    <w:next w:val="Normal"/>
    <w:link w:val="Ttulo1Char"/>
    <w:qFormat/>
    <w:rsid w:val="006939BA"/>
    <w:pPr>
      <w:keepNext/>
      <w:numPr>
        <w:numId w:val="1"/>
      </w:numPr>
      <w:pBdr>
        <w:bottom w:val="single" w:sz="8" w:space="1" w:color="auto"/>
      </w:pBdr>
      <w:tabs>
        <w:tab w:val="clear" w:pos="432"/>
        <w:tab w:val="num" w:pos="0"/>
      </w:tabs>
      <w:spacing w:before="240" w:after="240"/>
      <w:ind w:left="0" w:firstLine="0"/>
      <w:jc w:val="right"/>
      <w:outlineLvl w:val="0"/>
    </w:pPr>
    <w:rPr>
      <w:rFonts w:cs="Times New Roman"/>
      <w:b/>
      <w:bCs/>
      <w:caps/>
      <w:kern w:val="32"/>
      <w:sz w:val="24"/>
      <w:szCs w:val="24"/>
    </w:rPr>
  </w:style>
  <w:style w:type="paragraph" w:styleId="Ttulo2">
    <w:name w:val="heading 2"/>
    <w:basedOn w:val="Normal"/>
    <w:next w:val="Normal"/>
    <w:link w:val="Ttulo2Char"/>
    <w:qFormat/>
    <w:rsid w:val="006939BA"/>
    <w:pPr>
      <w:keepNext/>
      <w:numPr>
        <w:ilvl w:val="1"/>
        <w:numId w:val="1"/>
      </w:numPr>
      <w:spacing w:before="240" w:after="240"/>
      <w:jc w:val="both"/>
      <w:outlineLvl w:val="1"/>
    </w:pPr>
    <w:rPr>
      <w:rFonts w:cs="Times New Roman"/>
      <w:b/>
      <w:bCs/>
      <w:iCs/>
      <w:sz w:val="24"/>
      <w:szCs w:val="24"/>
    </w:rPr>
  </w:style>
  <w:style w:type="paragraph" w:styleId="Ttulo3">
    <w:name w:val="heading 3"/>
    <w:aliases w:val="LEG TABELA"/>
    <w:basedOn w:val="Normal"/>
    <w:next w:val="Normal"/>
    <w:link w:val="Ttulo3Char"/>
    <w:qFormat/>
    <w:rsid w:val="006939BA"/>
    <w:pPr>
      <w:keepNext/>
      <w:numPr>
        <w:ilvl w:val="2"/>
        <w:numId w:val="1"/>
      </w:numPr>
      <w:tabs>
        <w:tab w:val="clear" w:pos="1571"/>
        <w:tab w:val="left" w:pos="907"/>
      </w:tabs>
      <w:spacing w:before="240" w:after="240"/>
      <w:ind w:left="720"/>
      <w:jc w:val="both"/>
      <w:outlineLvl w:val="2"/>
    </w:pPr>
    <w:rPr>
      <w:rFonts w:cs="Times New Roman"/>
      <w:b/>
      <w:bCs/>
      <w:szCs w:val="26"/>
    </w:rPr>
  </w:style>
  <w:style w:type="paragraph" w:styleId="Ttulo4">
    <w:name w:val="heading 4"/>
    <w:aliases w:val="FONTE TABELA"/>
    <w:basedOn w:val="Normal"/>
    <w:next w:val="Normal"/>
    <w:link w:val="Ttulo4Char"/>
    <w:qFormat/>
    <w:rsid w:val="006939BA"/>
    <w:pPr>
      <w:keepNext/>
      <w:numPr>
        <w:ilvl w:val="3"/>
        <w:numId w:val="1"/>
      </w:numPr>
      <w:spacing w:before="240" w:after="240"/>
      <w:ind w:left="862" w:hanging="862"/>
      <w:outlineLvl w:val="3"/>
    </w:pPr>
    <w:rPr>
      <w:rFonts w:cs="Times New Roman"/>
      <w:b/>
      <w:bCs/>
    </w:rPr>
  </w:style>
  <w:style w:type="paragraph" w:styleId="Ttulo5">
    <w:name w:val="heading 5"/>
    <w:aliases w:val="CORP TABELA"/>
    <w:basedOn w:val="Normal"/>
    <w:next w:val="Normal"/>
    <w:link w:val="Ttulo5Char"/>
    <w:qFormat/>
    <w:rsid w:val="006939BA"/>
    <w:pPr>
      <w:numPr>
        <w:ilvl w:val="4"/>
        <w:numId w:val="1"/>
      </w:numPr>
      <w:tabs>
        <w:tab w:val="clear" w:pos="1008"/>
        <w:tab w:val="left" w:pos="1418"/>
      </w:tabs>
      <w:spacing w:before="240" w:after="240"/>
      <w:ind w:left="1009" w:hanging="1009"/>
      <w:outlineLvl w:val="4"/>
    </w:pPr>
    <w:rPr>
      <w:rFonts w:cs="Times New Roman"/>
      <w:b/>
      <w:bCs/>
      <w:iCs/>
    </w:rPr>
  </w:style>
  <w:style w:type="paragraph" w:styleId="Ttulo6">
    <w:name w:val="heading 6"/>
    <w:basedOn w:val="Normal"/>
    <w:next w:val="Normal"/>
    <w:link w:val="Ttulo6Char"/>
    <w:qFormat/>
    <w:rsid w:val="006939BA"/>
    <w:pPr>
      <w:numPr>
        <w:ilvl w:val="5"/>
        <w:numId w:val="1"/>
      </w:numPr>
      <w:spacing w:before="240" w:after="60"/>
      <w:outlineLvl w:val="5"/>
    </w:pPr>
    <w:rPr>
      <w:rFonts w:ascii="Times New Roman" w:hAnsi="Times New Roman"/>
      <w:b/>
      <w:bCs/>
      <w:sz w:val="22"/>
      <w:szCs w:val="22"/>
    </w:rPr>
  </w:style>
  <w:style w:type="paragraph" w:styleId="Ttulo7">
    <w:name w:val="heading 7"/>
    <w:basedOn w:val="Normal"/>
    <w:next w:val="Normal"/>
    <w:link w:val="Ttulo7Char"/>
    <w:qFormat/>
    <w:rsid w:val="006939BA"/>
    <w:pPr>
      <w:numPr>
        <w:ilvl w:val="6"/>
        <w:numId w:val="1"/>
      </w:numPr>
      <w:spacing w:before="240" w:after="60"/>
      <w:outlineLvl w:val="6"/>
    </w:pPr>
    <w:rPr>
      <w:rFonts w:ascii="Times New Roman" w:hAnsi="Times New Roman"/>
    </w:rPr>
  </w:style>
  <w:style w:type="paragraph" w:styleId="Ttulo8">
    <w:name w:val="heading 8"/>
    <w:basedOn w:val="Normal"/>
    <w:next w:val="Normal"/>
    <w:link w:val="Ttulo8Char"/>
    <w:qFormat/>
    <w:rsid w:val="006939BA"/>
    <w:pPr>
      <w:numPr>
        <w:ilvl w:val="7"/>
        <w:numId w:val="1"/>
      </w:numPr>
      <w:spacing w:before="240" w:after="60"/>
      <w:outlineLvl w:val="7"/>
    </w:pPr>
    <w:rPr>
      <w:rFonts w:ascii="Times New Roman" w:hAnsi="Times New Roman"/>
      <w:i/>
      <w:iCs/>
    </w:rPr>
  </w:style>
  <w:style w:type="paragraph" w:styleId="Ttulo9">
    <w:name w:val="heading 9"/>
    <w:basedOn w:val="Normal"/>
    <w:next w:val="Normal"/>
    <w:link w:val="Ttulo9Char"/>
    <w:qFormat/>
    <w:rsid w:val="006939BA"/>
    <w:pPr>
      <w:numPr>
        <w:ilvl w:val="8"/>
        <w:numId w:val="1"/>
      </w:numPr>
      <w:spacing w:before="240" w:after="60"/>
      <w:outlineLvl w:val="8"/>
    </w:pPr>
    <w:rPr>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939BA"/>
    <w:rPr>
      <w:rFonts w:ascii="Arial" w:eastAsia="Times New Roman" w:hAnsi="Arial" w:cs="Times New Roman"/>
      <w:b/>
      <w:bCs/>
      <w:caps/>
      <w:kern w:val="32"/>
      <w:sz w:val="24"/>
      <w:szCs w:val="24"/>
      <w:lang w:eastAsia="pt-BR"/>
    </w:rPr>
  </w:style>
  <w:style w:type="character" w:customStyle="1" w:styleId="Ttulo2Char">
    <w:name w:val="Título 2 Char"/>
    <w:basedOn w:val="Fontepargpadro"/>
    <w:link w:val="Ttulo2"/>
    <w:rsid w:val="006939BA"/>
    <w:rPr>
      <w:rFonts w:ascii="Arial" w:eastAsia="Times New Roman" w:hAnsi="Arial" w:cs="Times New Roman"/>
      <w:b/>
      <w:bCs/>
      <w:iCs/>
      <w:sz w:val="24"/>
      <w:szCs w:val="24"/>
      <w:lang w:eastAsia="pt-BR"/>
    </w:rPr>
  </w:style>
  <w:style w:type="character" w:customStyle="1" w:styleId="Ttulo3Char">
    <w:name w:val="Título 3 Char"/>
    <w:aliases w:val="LEG TABELA Char"/>
    <w:basedOn w:val="Fontepargpadro"/>
    <w:link w:val="Ttulo3"/>
    <w:rsid w:val="006939BA"/>
    <w:rPr>
      <w:rFonts w:ascii="Arial" w:eastAsia="Times New Roman" w:hAnsi="Arial" w:cs="Times New Roman"/>
      <w:b/>
      <w:bCs/>
      <w:sz w:val="20"/>
      <w:szCs w:val="26"/>
      <w:lang w:eastAsia="pt-BR"/>
    </w:rPr>
  </w:style>
  <w:style w:type="character" w:customStyle="1" w:styleId="Ttulo4Char">
    <w:name w:val="Título 4 Char"/>
    <w:aliases w:val="FONTE TABELA Char"/>
    <w:basedOn w:val="Fontepargpadro"/>
    <w:link w:val="Ttulo4"/>
    <w:rsid w:val="006939BA"/>
    <w:rPr>
      <w:rFonts w:ascii="Arial" w:eastAsia="Times New Roman" w:hAnsi="Arial" w:cs="Times New Roman"/>
      <w:b/>
      <w:bCs/>
      <w:sz w:val="20"/>
      <w:szCs w:val="20"/>
      <w:lang w:eastAsia="pt-BR"/>
    </w:rPr>
  </w:style>
  <w:style w:type="character" w:customStyle="1" w:styleId="Ttulo5Char">
    <w:name w:val="Título 5 Char"/>
    <w:aliases w:val="CORP TABELA Char"/>
    <w:basedOn w:val="Fontepargpadro"/>
    <w:link w:val="Ttulo5"/>
    <w:rsid w:val="006939BA"/>
    <w:rPr>
      <w:rFonts w:ascii="Arial" w:eastAsia="Times New Roman" w:hAnsi="Arial" w:cs="Times New Roman"/>
      <w:b/>
      <w:bCs/>
      <w:iCs/>
      <w:sz w:val="20"/>
      <w:szCs w:val="20"/>
      <w:lang w:eastAsia="pt-BR"/>
    </w:rPr>
  </w:style>
  <w:style w:type="character" w:customStyle="1" w:styleId="Ttulo6Char">
    <w:name w:val="Título 6 Char"/>
    <w:basedOn w:val="Fontepargpadro"/>
    <w:link w:val="Ttulo6"/>
    <w:rsid w:val="006939BA"/>
    <w:rPr>
      <w:rFonts w:ascii="Times New Roman" w:eastAsia="Times New Roman" w:hAnsi="Times New Roman" w:cs="Arial"/>
      <w:b/>
      <w:bCs/>
      <w:lang w:eastAsia="pt-BR"/>
    </w:rPr>
  </w:style>
  <w:style w:type="character" w:customStyle="1" w:styleId="Ttulo7Char">
    <w:name w:val="Título 7 Char"/>
    <w:basedOn w:val="Fontepargpadro"/>
    <w:link w:val="Ttulo7"/>
    <w:rsid w:val="006939BA"/>
    <w:rPr>
      <w:rFonts w:ascii="Times New Roman" w:eastAsia="Times New Roman" w:hAnsi="Times New Roman" w:cs="Arial"/>
      <w:sz w:val="20"/>
      <w:szCs w:val="20"/>
      <w:lang w:eastAsia="pt-BR"/>
    </w:rPr>
  </w:style>
  <w:style w:type="character" w:customStyle="1" w:styleId="Ttulo8Char">
    <w:name w:val="Título 8 Char"/>
    <w:basedOn w:val="Fontepargpadro"/>
    <w:link w:val="Ttulo8"/>
    <w:rsid w:val="006939BA"/>
    <w:rPr>
      <w:rFonts w:ascii="Times New Roman" w:eastAsia="Times New Roman" w:hAnsi="Times New Roman" w:cs="Arial"/>
      <w:i/>
      <w:iCs/>
      <w:sz w:val="20"/>
      <w:szCs w:val="20"/>
      <w:lang w:eastAsia="pt-BR"/>
    </w:rPr>
  </w:style>
  <w:style w:type="character" w:customStyle="1" w:styleId="Ttulo9Char">
    <w:name w:val="Título 9 Char"/>
    <w:basedOn w:val="Fontepargpadro"/>
    <w:link w:val="Ttulo9"/>
    <w:rsid w:val="006939BA"/>
    <w:rPr>
      <w:rFonts w:ascii="Arial" w:eastAsia="Times New Roman" w:hAnsi="Arial" w:cs="Arial"/>
      <w:lang w:eastAsia="pt-BR"/>
    </w:rPr>
  </w:style>
  <w:style w:type="paragraph" w:styleId="Legenda">
    <w:name w:val="caption"/>
    <w:basedOn w:val="Normal"/>
    <w:next w:val="Normal"/>
    <w:link w:val="LegendaChar"/>
    <w:autoRedefine/>
    <w:uiPriority w:val="35"/>
    <w:qFormat/>
    <w:rsid w:val="006939BA"/>
    <w:pPr>
      <w:keepNext/>
      <w:spacing w:before="120" w:after="120" w:line="240" w:lineRule="auto"/>
    </w:pPr>
    <w:rPr>
      <w:bCs/>
    </w:rPr>
  </w:style>
  <w:style w:type="character" w:customStyle="1" w:styleId="LegendaChar">
    <w:name w:val="Legenda Char"/>
    <w:link w:val="Legenda"/>
    <w:uiPriority w:val="35"/>
    <w:rsid w:val="006939BA"/>
    <w:rPr>
      <w:rFonts w:ascii="Arial" w:eastAsia="Times New Roman" w:hAnsi="Arial" w:cs="Arial"/>
      <w:bCs/>
      <w:sz w:val="20"/>
      <w:szCs w:val="20"/>
      <w:lang w:eastAsia="pt-BR"/>
    </w:rPr>
  </w:style>
  <w:style w:type="paragraph" w:customStyle="1" w:styleId="CorpodeTextoCerroAzul">
    <w:name w:val="Corpo de Texto CerroAzul"/>
    <w:basedOn w:val="Normal"/>
    <w:link w:val="CorpodeTextoCerroAzulChar"/>
    <w:qFormat/>
    <w:rsid w:val="006939BA"/>
    <w:pPr>
      <w:ind w:firstLine="567"/>
      <w:jc w:val="both"/>
    </w:pPr>
    <w:rPr>
      <w:rFonts w:cs="Times New Roman"/>
      <w:sz w:val="24"/>
      <w:szCs w:val="24"/>
    </w:rPr>
  </w:style>
  <w:style w:type="character" w:customStyle="1" w:styleId="CorpodeTextoCerroAzulChar">
    <w:name w:val="Corpo de Texto CerroAzul Char"/>
    <w:link w:val="CorpodeTextoCerroAzul"/>
    <w:rsid w:val="006939BA"/>
    <w:rPr>
      <w:rFonts w:ascii="Arial" w:eastAsia="Times New Roman" w:hAnsi="Arial" w:cs="Times New Roman"/>
      <w:sz w:val="24"/>
      <w:szCs w:val="24"/>
      <w:lang w:eastAsia="pt-BR"/>
    </w:rPr>
  </w:style>
  <w:style w:type="character" w:styleId="Refdenotaderodap">
    <w:name w:val="footnote reference"/>
    <w:uiPriority w:val="99"/>
    <w:unhideWhenUsed/>
    <w:rsid w:val="006939BA"/>
    <w:rPr>
      <w:vertAlign w:val="superscript"/>
    </w:rPr>
  </w:style>
  <w:style w:type="paragraph" w:customStyle="1" w:styleId="Ttulo3Tagaaba">
    <w:name w:val="Título 3 Tagaçaba"/>
    <w:basedOn w:val="Ttulo3"/>
    <w:link w:val="Ttulo3TagaabaChar"/>
    <w:qFormat/>
    <w:rsid w:val="006939BA"/>
    <w:pPr>
      <w:ind w:left="709" w:hanging="709"/>
    </w:pPr>
    <w:rPr>
      <w:sz w:val="24"/>
      <w:szCs w:val="24"/>
    </w:rPr>
  </w:style>
  <w:style w:type="character" w:customStyle="1" w:styleId="Ttulo3TagaabaChar">
    <w:name w:val="Título 3 Tagaçaba Char"/>
    <w:link w:val="Ttulo3Tagaaba"/>
    <w:rsid w:val="006939BA"/>
    <w:rPr>
      <w:rFonts w:ascii="Arial" w:eastAsia="Times New Roman" w:hAnsi="Arial" w:cs="Times New Roman"/>
      <w:b/>
      <w:bCs/>
      <w:sz w:val="24"/>
      <w:szCs w:val="24"/>
      <w:lang w:eastAsia="pt-BR"/>
    </w:rPr>
  </w:style>
  <w:style w:type="paragraph" w:customStyle="1" w:styleId="Ttulo2CerroAzul1">
    <w:name w:val="Título 2 CerroAzul1"/>
    <w:basedOn w:val="Ttulo2"/>
    <w:link w:val="Ttulo2CerroAzul1Char"/>
    <w:qFormat/>
    <w:rsid w:val="006939BA"/>
    <w:pPr>
      <w:numPr>
        <w:ilvl w:val="0"/>
        <w:numId w:val="0"/>
      </w:numPr>
      <w:ind w:left="578" w:hanging="578"/>
    </w:pPr>
    <w:rPr>
      <w:bCs w:val="0"/>
      <w:iCs w:val="0"/>
    </w:rPr>
  </w:style>
  <w:style w:type="character" w:customStyle="1" w:styleId="Ttulo2CerroAzul1Char">
    <w:name w:val="Título 2 CerroAzul1 Char"/>
    <w:link w:val="Ttulo2CerroAzul1"/>
    <w:rsid w:val="006939BA"/>
    <w:rPr>
      <w:rFonts w:ascii="Arial" w:eastAsia="Times New Roman" w:hAnsi="Arial" w:cs="Times New Roman"/>
      <w:b/>
      <w:sz w:val="24"/>
      <w:szCs w:val="24"/>
      <w:lang w:eastAsia="pt-BR"/>
    </w:rPr>
  </w:style>
  <w:style w:type="paragraph" w:customStyle="1" w:styleId="Ttulo3CerroAzul">
    <w:name w:val="Título 3 CerroAzul"/>
    <w:basedOn w:val="Ttulo3"/>
    <w:link w:val="Ttulo3CerroAzulChar"/>
    <w:qFormat/>
    <w:rsid w:val="006939BA"/>
    <w:pPr>
      <w:tabs>
        <w:tab w:val="num" w:pos="720"/>
      </w:tabs>
    </w:pPr>
    <w:rPr>
      <w:rFonts w:cs="Arial"/>
      <w:sz w:val="24"/>
      <w:szCs w:val="24"/>
    </w:rPr>
  </w:style>
  <w:style w:type="character" w:customStyle="1" w:styleId="Ttulo3CerroAzulChar">
    <w:name w:val="Título 3 CerroAzul Char"/>
    <w:link w:val="Ttulo3CerroAzul"/>
    <w:rsid w:val="006939BA"/>
    <w:rPr>
      <w:rFonts w:ascii="Arial" w:eastAsia="Times New Roman" w:hAnsi="Arial" w:cs="Arial"/>
      <w:b/>
      <w:bCs/>
      <w:sz w:val="24"/>
      <w:szCs w:val="24"/>
      <w:lang w:eastAsia="pt-BR"/>
    </w:rPr>
  </w:style>
  <w:style w:type="paragraph" w:styleId="Textodebalo">
    <w:name w:val="Balloon Text"/>
    <w:basedOn w:val="Normal"/>
    <w:link w:val="TextodebaloChar"/>
    <w:uiPriority w:val="99"/>
    <w:semiHidden/>
    <w:unhideWhenUsed/>
    <w:rsid w:val="006939BA"/>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939BA"/>
    <w:rPr>
      <w:rFonts w:ascii="Tahoma" w:eastAsia="Times New Roman"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4</Pages>
  <Words>938</Words>
  <Characters>5071</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 4</dc:creator>
  <cp:keywords/>
  <dc:description/>
  <cp:lastModifiedBy>Usuário do Windows</cp:lastModifiedBy>
  <cp:revision>1</cp:revision>
  <dcterms:created xsi:type="dcterms:W3CDTF">2017-07-17T13:06:00Z</dcterms:created>
  <dcterms:modified xsi:type="dcterms:W3CDTF">2017-07-18T23:13:00Z</dcterms:modified>
</cp:coreProperties>
</file>