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629FC" w:rsidRDefault="001629FC" w:rsidP="00AD6D24">
      <w:pPr>
        <w:jc w:val="left"/>
      </w:pPr>
    </w:p>
    <w:p w:rsidR="001629FC" w:rsidRDefault="001629FC" w:rsidP="001629FC">
      <w:pPr>
        <w:pStyle w:val="Ttulo1CerroAzul"/>
        <w:tabs>
          <w:tab w:val="clear" w:pos="6528"/>
        </w:tabs>
        <w:ind w:left="0" w:firstLine="0"/>
        <w:jc w:val="left"/>
      </w:pPr>
      <w:r>
        <w:t>ASPECTOS HISTÓRICOS E PATRIMÔNIO CULTURAL</w:t>
      </w:r>
    </w:p>
    <w:p w:rsidR="001629FC" w:rsidRDefault="001629FC" w:rsidP="009C776E">
      <w:pPr>
        <w:ind w:firstLine="709"/>
        <w:jc w:val="both"/>
      </w:pPr>
      <w:r>
        <w:rPr>
          <w:sz w:val="24"/>
          <w:szCs w:val="24"/>
        </w:rPr>
        <w:t>Desde épocas nômades da história, o ser humano possui a necessidade e preocupação de pertencer a alguma sociedade. Por esse motivo ou em virtude da sobrevivência, passaram a constituir-se através de delimitações regionais. O território é um espaço político por excelência e sua criação está associada às relações de poder e de domínio. Os territórios não são apenas espaços físicos, são também espaços sociais, espaços culturais, onde se manifestam as relações e as ideias (FERNANDES, 2008, p.27). Sendo assim, diversos fatores podem ser delimitadores na natureza de território, em diferentes meios de discussão e âmbitos de ciência, pode ser definido por marcadores econômicos, culturais e políticos. Entretanto, uma vertente mais antiga e menos utilizada, aborda como definidor o elemento de conexão entre o homem e a natureza na marcação do território do homem. Essa visão naturalista nascida nas ciências sociais tem base nas relações entre homem e natureza e o que ela possui de “natural” dentro do ambiente físico (HAESBAERT, R. 2004).</w:t>
      </w:r>
    </w:p>
    <w:p w:rsidR="001629FC" w:rsidRDefault="001629FC" w:rsidP="001629FC">
      <w:pPr>
        <w:jc w:val="both"/>
      </w:pPr>
      <w:r>
        <w:rPr>
          <w:sz w:val="24"/>
          <w:szCs w:val="24"/>
        </w:rPr>
        <w:t xml:space="preserve">        </w:t>
      </w:r>
      <w:r>
        <w:rPr>
          <w:color w:val="FF0000"/>
          <w:sz w:val="24"/>
          <w:szCs w:val="24"/>
        </w:rPr>
        <w:tab/>
      </w:r>
      <w:r>
        <w:rPr>
          <w:sz w:val="24"/>
          <w:szCs w:val="24"/>
        </w:rPr>
        <w:t>O Lagamar</w:t>
      </w:r>
      <w:r>
        <w:rPr>
          <w:color w:val="FF0000"/>
          <w:sz w:val="24"/>
          <w:szCs w:val="24"/>
        </w:rPr>
        <w:t xml:space="preserve"> </w:t>
      </w:r>
      <w:r>
        <w:rPr>
          <w:sz w:val="24"/>
          <w:szCs w:val="24"/>
        </w:rPr>
        <w:t xml:space="preserve">sendo praticamente intocado pelo homem, em parte graças às encostas da Serra da Graciosa, em parte pelo dossel intacto da Mata Atlântica, que o envolve desde a serra até o Vale do Ribeira, revela práticas cognitivas e símbolos compartidos que orientam os indivíduos em suas relações com a natureza e com outros membros da sociedade. </w:t>
      </w:r>
      <w:proofErr w:type="gramStart"/>
      <w:r>
        <w:rPr>
          <w:sz w:val="24"/>
          <w:szCs w:val="24"/>
        </w:rPr>
        <w:t>Expressa-se</w:t>
      </w:r>
      <w:proofErr w:type="gramEnd"/>
      <w:r>
        <w:rPr>
          <w:sz w:val="24"/>
          <w:szCs w:val="24"/>
        </w:rPr>
        <w:t xml:space="preserve"> também em produtos materiais (tipo de moradia, embarcação, instrumentos de trabalho, etc) e também não materiais (linguagem, música, dança, rituais religiosos). Entrando no âmbito e visão das comunidades e moradores que fazem uso da </w:t>
      </w:r>
      <w:proofErr w:type="gramStart"/>
      <w:r>
        <w:rPr>
          <w:sz w:val="24"/>
          <w:szCs w:val="24"/>
        </w:rPr>
        <w:t>terra ,</w:t>
      </w:r>
      <w:proofErr w:type="gramEnd"/>
      <w:r>
        <w:rPr>
          <w:sz w:val="24"/>
          <w:szCs w:val="24"/>
        </w:rPr>
        <w:t xml:space="preserve"> percebe-se que a atividade que os membros exercem no dia a dia para plantio, moradia e atividades de lazer são os fatores que definem a noção da totalidade de território (referência oral de um morador local). Faz-se referência à proteção e sentimento de defesa que um espaço intitulado de “nosso” os remete, que faz parte do ser proprietário e morador do local. Em palavras de </w:t>
      </w:r>
      <w:proofErr w:type="spellStart"/>
      <w:r>
        <w:rPr>
          <w:sz w:val="24"/>
          <w:szCs w:val="24"/>
        </w:rPr>
        <w:t>Godelier</w:t>
      </w:r>
      <w:proofErr w:type="spellEnd"/>
      <w:r>
        <w:rPr>
          <w:sz w:val="24"/>
          <w:szCs w:val="24"/>
        </w:rPr>
        <w:t xml:space="preserve"> (1984), o território pode ser definido como uma porção da natureza e espaço sobre os quais uma sociedade determinada reivindica e garante a todos, direitos estáveis de acesso, controle ou uso sobre a totalidade ou parte dos recursos naturais aí existentes, que ela deseja ou é capaz de utilizar.</w:t>
      </w:r>
    </w:p>
    <w:p w:rsidR="001629FC" w:rsidRDefault="001629FC" w:rsidP="001629FC">
      <w:pPr>
        <w:jc w:val="both"/>
      </w:pPr>
      <w:r>
        <w:rPr>
          <w:sz w:val="24"/>
          <w:szCs w:val="24"/>
        </w:rPr>
        <w:lastRenderedPageBreak/>
        <w:t xml:space="preserve">        </w:t>
      </w:r>
      <w:r>
        <w:rPr>
          <w:sz w:val="24"/>
          <w:szCs w:val="24"/>
        </w:rPr>
        <w:tab/>
        <w:t xml:space="preserve">A riqueza da região é caracterizada não só pela diversidade de fauna e flora, mas também pela diversidade imaterial nascida de </w:t>
      </w:r>
      <w:r>
        <w:rPr>
          <w:i/>
          <w:sz w:val="24"/>
          <w:szCs w:val="24"/>
        </w:rPr>
        <w:t xml:space="preserve">povos indígenas (Guarani, </w:t>
      </w:r>
      <w:proofErr w:type="spellStart"/>
      <w:r>
        <w:rPr>
          <w:i/>
          <w:sz w:val="24"/>
          <w:szCs w:val="24"/>
        </w:rPr>
        <w:t>Kaingang</w:t>
      </w:r>
      <w:proofErr w:type="spellEnd"/>
      <w:r>
        <w:rPr>
          <w:i/>
          <w:sz w:val="24"/>
          <w:szCs w:val="24"/>
        </w:rPr>
        <w:t xml:space="preserve"> e Xetá)</w:t>
      </w:r>
      <w:r>
        <w:rPr>
          <w:sz w:val="24"/>
          <w:szCs w:val="24"/>
        </w:rPr>
        <w:t xml:space="preserve">, os </w:t>
      </w:r>
      <w:r>
        <w:rPr>
          <w:i/>
          <w:sz w:val="24"/>
          <w:szCs w:val="24"/>
        </w:rPr>
        <w:t>caiçaras</w:t>
      </w:r>
      <w:r>
        <w:rPr>
          <w:sz w:val="24"/>
          <w:szCs w:val="24"/>
        </w:rPr>
        <w:t xml:space="preserve"> - descendentes de índios, sobretudo de Carijós, colonizadores portugueses e escravos negros - e inúmeros núcleos de </w:t>
      </w:r>
      <w:r>
        <w:rPr>
          <w:i/>
          <w:sz w:val="24"/>
          <w:szCs w:val="24"/>
        </w:rPr>
        <w:t>quilombolas</w:t>
      </w:r>
      <w:r>
        <w:rPr>
          <w:sz w:val="24"/>
          <w:szCs w:val="24"/>
        </w:rPr>
        <w:t xml:space="preserve"> e de </w:t>
      </w:r>
      <w:r>
        <w:rPr>
          <w:i/>
          <w:sz w:val="24"/>
          <w:szCs w:val="24"/>
        </w:rPr>
        <w:t>caboclos ribeirinhos</w:t>
      </w:r>
      <w:r>
        <w:rPr>
          <w:sz w:val="24"/>
          <w:szCs w:val="24"/>
        </w:rPr>
        <w:t xml:space="preserve">. Além destes citados, posteriormente outros grupos </w:t>
      </w:r>
      <w:r>
        <w:rPr>
          <w:i/>
          <w:sz w:val="24"/>
          <w:szCs w:val="24"/>
        </w:rPr>
        <w:t xml:space="preserve">migrantes </w:t>
      </w:r>
      <w:r>
        <w:rPr>
          <w:sz w:val="24"/>
          <w:szCs w:val="24"/>
        </w:rPr>
        <w:t>europeus se juntaram, como suíços, franceses, alemães, italianos e também norte-americanos (DIEGUES, A. 2004).</w:t>
      </w:r>
    </w:p>
    <w:p w:rsidR="001629FC" w:rsidRDefault="001629FC" w:rsidP="001629FC">
      <w:pPr>
        <w:ind w:firstLine="720"/>
        <w:jc w:val="both"/>
      </w:pPr>
      <w:r>
        <w:rPr>
          <w:sz w:val="24"/>
          <w:szCs w:val="24"/>
        </w:rPr>
        <w:t xml:space="preserve">Os primeiros habitantes da região que hoje constitui a APA de Guaraqueçaba foram indígenas tupiniquins e carijós. Caracterizados pela atividade pesqueira, coleta de moluscos, frutas e </w:t>
      </w:r>
      <w:proofErr w:type="gramStart"/>
      <w:r>
        <w:rPr>
          <w:sz w:val="24"/>
          <w:szCs w:val="24"/>
        </w:rPr>
        <w:t>caça de mamíferos</w:t>
      </w:r>
      <w:proofErr w:type="gramEnd"/>
      <w:r>
        <w:rPr>
          <w:sz w:val="24"/>
          <w:szCs w:val="24"/>
        </w:rPr>
        <w:t xml:space="preserve">. O sistema econômico dos indígenas era baseado, em síntese, pela troca e partilha dos alimentos e objetos elaborados em comunidade. A colonização e as alterações nas atividades econômicas desenvolvidas na região começaram em 1545 com destaque para a descoberta de ouro e também com a exploração do minério a partir de 1578, usando a escravização de índios carijós. A partir disso, a ocupação inicial do litoral paranaense pelos portugueses ocorreu na Ilha da Cotinga na baía de Paranaguá, no lado voltado para a Ilha Rasa da Cotinga, chefiados por Domingos Gonçalves </w:t>
      </w:r>
      <w:proofErr w:type="spellStart"/>
      <w:r>
        <w:rPr>
          <w:sz w:val="24"/>
          <w:szCs w:val="24"/>
        </w:rPr>
        <w:t>Peneda</w:t>
      </w:r>
      <w:proofErr w:type="spellEnd"/>
      <w:r>
        <w:rPr>
          <w:sz w:val="24"/>
          <w:szCs w:val="24"/>
        </w:rPr>
        <w:t xml:space="preserve">. Destaca-se que já havia comércio marítimo com Santos, permutando ferramentas por algodão que os índios plantavam e colhiam em Paranaguá </w:t>
      </w:r>
      <w:r w:rsidR="005003C0" w:rsidRPr="005003C0">
        <w:rPr>
          <w:sz w:val="24"/>
          <w:szCs w:val="24"/>
        </w:rPr>
        <w:t>(COLIT, 2004</w:t>
      </w:r>
      <w:r w:rsidRPr="005003C0">
        <w:rPr>
          <w:sz w:val="24"/>
          <w:szCs w:val="24"/>
        </w:rPr>
        <w:t>).</w:t>
      </w:r>
    </w:p>
    <w:p w:rsidR="001629FC" w:rsidRDefault="001629FC" w:rsidP="001629FC">
      <w:pPr>
        <w:ind w:firstLine="720"/>
      </w:pPr>
      <w:r>
        <w:rPr>
          <w:noProof/>
        </w:rPr>
        <w:lastRenderedPageBreak/>
        <w:drawing>
          <wp:inline distT="114300" distB="114300" distL="114300" distR="114300" wp14:anchorId="3EA2A568" wp14:editId="00B05B9B">
            <wp:extent cx="2600325" cy="3581400"/>
            <wp:effectExtent l="0" t="0" r="0" b="0"/>
            <wp:docPr id="8"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9"/>
                    <a:srcRect/>
                    <a:stretch>
                      <a:fillRect/>
                    </a:stretch>
                  </pic:blipFill>
                  <pic:spPr>
                    <a:xfrm>
                      <a:off x="0" y="0"/>
                      <a:ext cx="2600325" cy="3581400"/>
                    </a:xfrm>
                    <a:prstGeom prst="rect">
                      <a:avLst/>
                    </a:prstGeom>
                    <a:ln/>
                  </pic:spPr>
                </pic:pic>
              </a:graphicData>
            </a:graphic>
          </wp:inline>
        </w:drawing>
      </w:r>
    </w:p>
    <w:p w:rsidR="001629FC" w:rsidRDefault="001629FC" w:rsidP="001629FC">
      <w:pPr>
        <w:ind w:firstLine="720"/>
      </w:pPr>
      <w:r>
        <w:rPr>
          <w:sz w:val="24"/>
          <w:szCs w:val="24"/>
        </w:rPr>
        <w:t>Figura 1 – Capitão Domingos Nascimento</w:t>
      </w:r>
    </w:p>
    <w:p w:rsidR="001629FC" w:rsidRDefault="001629FC" w:rsidP="001629FC">
      <w:pPr>
        <w:ind w:firstLine="720"/>
      </w:pPr>
      <w:r>
        <w:rPr>
          <w:sz w:val="24"/>
          <w:szCs w:val="24"/>
        </w:rPr>
        <w:t xml:space="preserve"> </w:t>
      </w:r>
    </w:p>
    <w:p w:rsidR="00A6203E" w:rsidRDefault="001629FC" w:rsidP="00A6203E">
      <w:pPr>
        <w:ind w:firstLine="720"/>
        <w:jc w:val="both"/>
      </w:pPr>
      <w:r>
        <w:rPr>
          <w:sz w:val="24"/>
          <w:szCs w:val="24"/>
        </w:rPr>
        <w:t xml:space="preserve">A partir de 1638 as mudanças se tornaram mais expressivas. Gabriel de Lara, fundador da capitania de Paranaguá, descobriu ouro nas encostas da Serra Negra, revelando a notícia às Provedorias das Minas de São Paulo. Com isso, expedições que buscavam o minério trouxeram imigrantes europeus, provindos de São Vicente, litoral paulista. Além disso, as planícies aluviais do rio </w:t>
      </w:r>
      <w:proofErr w:type="spellStart"/>
      <w:r>
        <w:rPr>
          <w:sz w:val="24"/>
          <w:szCs w:val="24"/>
        </w:rPr>
        <w:t>Nhundiaquara</w:t>
      </w:r>
      <w:proofErr w:type="spellEnd"/>
      <w:r>
        <w:rPr>
          <w:sz w:val="24"/>
          <w:szCs w:val="24"/>
        </w:rPr>
        <w:t xml:space="preserve"> e dos seus afluentes já vinham sendo povoadas pelo fato dos garimpeiros lavrarem o ouro das aluviões fluviais. A região passou por alguns ciclos econômicos e produtivos com a chegada </w:t>
      </w:r>
      <w:r w:rsidR="00A6203E">
        <w:rPr>
          <w:sz w:val="24"/>
          <w:szCs w:val="24"/>
        </w:rPr>
        <w:t>gradual dos imigrantes no local</w:t>
      </w:r>
      <w:r w:rsidR="00A6203E" w:rsidRPr="00A6203E">
        <w:rPr>
          <w:sz w:val="24"/>
          <w:szCs w:val="24"/>
        </w:rPr>
        <w:t xml:space="preserve"> </w:t>
      </w:r>
      <w:r w:rsidR="00A6203E" w:rsidRPr="005003C0">
        <w:rPr>
          <w:sz w:val="24"/>
          <w:szCs w:val="24"/>
        </w:rPr>
        <w:t>(COLIT, 2004).</w:t>
      </w:r>
    </w:p>
    <w:p w:rsidR="001629FC" w:rsidRDefault="001629FC" w:rsidP="001629FC">
      <w:pPr>
        <w:ind w:firstLine="720"/>
        <w:jc w:val="both"/>
      </w:pPr>
      <w:r>
        <w:rPr>
          <w:sz w:val="24"/>
          <w:szCs w:val="24"/>
        </w:rPr>
        <w:t xml:space="preserve">A história caiçara tem relação principalmente com a mata, onde fazem a agricultura itinerante e de onde se extraem diversos produtos. A população mantém ligação com a água doce dos rios e lagos e, sobretudo, com os estuários e o próprio mar. Parte da influência dessa visão de mundo provém da cultura crioula ou cabocla, de europeus, negros e índios; todos eles com ligações diretas com a pesca e a agricultura (DIEGUES, 2004). </w:t>
      </w:r>
    </w:p>
    <w:p w:rsidR="001629FC" w:rsidRDefault="001629FC" w:rsidP="001629FC">
      <w:pPr>
        <w:ind w:firstLine="720"/>
        <w:jc w:val="both"/>
      </w:pPr>
      <w:r>
        <w:rPr>
          <w:sz w:val="24"/>
          <w:szCs w:val="24"/>
        </w:rPr>
        <w:t xml:space="preserve">No início do século XIX, após a construção da igreja do Nosso Senhor Bom Jesus dos Perdões, no morro do </w:t>
      </w:r>
      <w:proofErr w:type="spellStart"/>
      <w:r>
        <w:rPr>
          <w:sz w:val="24"/>
          <w:szCs w:val="24"/>
        </w:rPr>
        <w:t>Quitumbê</w:t>
      </w:r>
      <w:proofErr w:type="spellEnd"/>
      <w:r>
        <w:rPr>
          <w:sz w:val="24"/>
          <w:szCs w:val="24"/>
        </w:rPr>
        <w:t xml:space="preserve">, surgiram </w:t>
      </w:r>
      <w:proofErr w:type="gramStart"/>
      <w:r>
        <w:rPr>
          <w:sz w:val="24"/>
          <w:szCs w:val="24"/>
        </w:rPr>
        <w:t>as</w:t>
      </w:r>
      <w:proofErr w:type="gramEnd"/>
      <w:r>
        <w:rPr>
          <w:sz w:val="24"/>
          <w:szCs w:val="24"/>
        </w:rPr>
        <w:t xml:space="preserve"> primeiras edificações em sua volta, formando o povoado de Guaraqueçaba. Vários fatos históricos do período </w:t>
      </w:r>
      <w:r>
        <w:rPr>
          <w:sz w:val="24"/>
          <w:szCs w:val="24"/>
        </w:rPr>
        <w:lastRenderedPageBreak/>
        <w:t xml:space="preserve">pós-desorganização das monoculturas coloniais agropecuárias são de suma importância no contexto geral na formação de uma identidade singular e característica do litoral paranaense. Relatos descrevem que povoações e os “sítios” (clareiras abertas na mata) caiçaras surgiram nos interstícios do período pós-colonial como o da cana-de-açúcar, no litoral sul do Rio de janeiro e norte de São Paulo, e do arroz, no Vale do Ribeira e litoral sul de São Paulo. Contemporaneamente, a partir dos anos de 1960 houve uma grande alteração no perfil de ocupação e produção do local. Atraídas pela </w:t>
      </w:r>
      <w:proofErr w:type="gramStart"/>
      <w:r>
        <w:rPr>
          <w:sz w:val="24"/>
          <w:szCs w:val="24"/>
        </w:rPr>
        <w:t>implementação</w:t>
      </w:r>
      <w:proofErr w:type="gramEnd"/>
      <w:r>
        <w:rPr>
          <w:sz w:val="24"/>
          <w:szCs w:val="24"/>
        </w:rPr>
        <w:t xml:space="preserve"> de uma política de incentivos fiscais que visava o desenvolvimento de atividades agroflorestais, muitas empresas migraram para o litoral paranaense apropriando-se de grandes áreas – terras devolutas ou pertencentes aos agricultores </w:t>
      </w:r>
      <w:r w:rsidRPr="00A6203E">
        <w:rPr>
          <w:sz w:val="24"/>
          <w:szCs w:val="24"/>
        </w:rPr>
        <w:t>locais (IPARDES, 1998).</w:t>
      </w:r>
      <w:r>
        <w:rPr>
          <w:sz w:val="24"/>
          <w:szCs w:val="24"/>
        </w:rPr>
        <w:t xml:space="preserve"> Com a intensificação do desmatamento da Mata Atlântica para implantação de pastagens para criação extensiva de búfalos e a exploração dos palmitais nativos, alavancou o nível de degradação dos ecossistemas. Com isso e com a especulação imobiliária a partir das décadas de 70 e 80, se dá início à criação das unidades de conservação alterando os modos de vida da população local, gerando os embates entre as duas partes envolvidas (DIEGUES, 2006).</w:t>
      </w:r>
    </w:p>
    <w:p w:rsidR="001629FC" w:rsidRDefault="001629FC" w:rsidP="001629FC">
      <w:pPr>
        <w:ind w:firstLine="720"/>
        <w:jc w:val="both"/>
      </w:pPr>
    </w:p>
    <w:p w:rsidR="001629FC" w:rsidRDefault="001629FC" w:rsidP="001629FC">
      <w:pPr>
        <w:ind w:firstLine="720"/>
      </w:pPr>
      <w:r>
        <w:t xml:space="preserve"> </w:t>
      </w:r>
      <w:r>
        <w:rPr>
          <w:noProof/>
        </w:rPr>
        <w:drawing>
          <wp:inline distT="114300" distB="114300" distL="114300" distR="114300" wp14:anchorId="08E87CB8" wp14:editId="5A055D42">
            <wp:extent cx="3391257" cy="2166938"/>
            <wp:effectExtent l="0" t="0" r="0" b="0"/>
            <wp:docPr id="5" name="image07.png"/>
            <wp:cNvGraphicFramePr/>
            <a:graphic xmlns:a="http://schemas.openxmlformats.org/drawingml/2006/main">
              <a:graphicData uri="http://schemas.openxmlformats.org/drawingml/2006/picture">
                <pic:pic xmlns:pic="http://schemas.openxmlformats.org/drawingml/2006/picture">
                  <pic:nvPicPr>
                    <pic:cNvPr id="0" name="image07.png"/>
                    <pic:cNvPicPr preferRelativeResize="0"/>
                  </pic:nvPicPr>
                  <pic:blipFill>
                    <a:blip r:embed="rId10"/>
                    <a:srcRect/>
                    <a:stretch>
                      <a:fillRect/>
                    </a:stretch>
                  </pic:blipFill>
                  <pic:spPr>
                    <a:xfrm>
                      <a:off x="0" y="0"/>
                      <a:ext cx="3391257" cy="2166938"/>
                    </a:xfrm>
                    <a:prstGeom prst="rect">
                      <a:avLst/>
                    </a:prstGeom>
                    <a:ln/>
                  </pic:spPr>
                </pic:pic>
              </a:graphicData>
            </a:graphic>
          </wp:inline>
        </w:drawing>
      </w:r>
    </w:p>
    <w:p w:rsidR="001629FC" w:rsidRDefault="001629FC" w:rsidP="001629FC">
      <w:pPr>
        <w:ind w:firstLine="720"/>
      </w:pPr>
      <w:r>
        <w:t>Figura 1: Artesanato de Renato Caiçara, forte representatividade de animais da floresta e Mata Atlântica.</w:t>
      </w:r>
    </w:p>
    <w:p w:rsidR="001629FC" w:rsidRDefault="001629FC" w:rsidP="001629FC">
      <w:pPr>
        <w:ind w:firstLine="720"/>
        <w:jc w:val="both"/>
      </w:pPr>
      <w:r>
        <w:t xml:space="preserve"> </w:t>
      </w:r>
    </w:p>
    <w:p w:rsidR="001629FC" w:rsidRDefault="001629FC" w:rsidP="001629FC">
      <w:pPr>
        <w:ind w:firstLine="720"/>
        <w:jc w:val="both"/>
      </w:pPr>
      <w:r>
        <w:rPr>
          <w:sz w:val="24"/>
          <w:szCs w:val="24"/>
        </w:rPr>
        <w:t xml:space="preserve">A partir de meados </w:t>
      </w:r>
      <w:proofErr w:type="gramStart"/>
      <w:r>
        <w:rPr>
          <w:sz w:val="24"/>
          <w:szCs w:val="24"/>
        </w:rPr>
        <w:t>do séculos</w:t>
      </w:r>
      <w:proofErr w:type="gramEnd"/>
      <w:r>
        <w:rPr>
          <w:sz w:val="24"/>
          <w:szCs w:val="24"/>
        </w:rPr>
        <w:t xml:space="preserve"> XX, a pesca, que era uma atividade complementar à agricultura, passou a ser a fonte de renda mais importante para as comunidades caiçaras. Esse processo está relacionado com as restrições de uso da terra que foram fazendo com que estes pescadores, os quais anteriormente faziam </w:t>
      </w:r>
      <w:r>
        <w:rPr>
          <w:sz w:val="24"/>
          <w:szCs w:val="24"/>
        </w:rPr>
        <w:lastRenderedPageBreak/>
        <w:t xml:space="preserve">mais uso da terra, fossem impulsionados para o mar. Cuidam e preservam até os dias de hoje a tradição e costume da fabricação das próprias embarcações (DIEGUES, A. 2004). Com os escassos recursos que tem, e por conta de sua habilidade, o caiçara começa o trabalho de construção da canoa por etapas: a escolha da árvore e a determinação da data do corte que deve ser realizado em uma determinada quadra da lua. Acertados os dois critérios preliminares, inicia-se a limpeza do terreno, para facilitar o corte da árvore e seu transporte na fase posterior. Depois da derrubada da árvore, é feito o </w:t>
      </w:r>
      <w:proofErr w:type="spellStart"/>
      <w:r>
        <w:rPr>
          <w:sz w:val="24"/>
          <w:szCs w:val="24"/>
        </w:rPr>
        <w:t>desgalhamento</w:t>
      </w:r>
      <w:proofErr w:type="spellEnd"/>
      <w:r>
        <w:rPr>
          <w:sz w:val="24"/>
          <w:szCs w:val="24"/>
        </w:rPr>
        <w:t>, a limpeza do tronco com o auxílio do machado e da enxó</w:t>
      </w:r>
      <w:r>
        <w:rPr>
          <w:sz w:val="24"/>
          <w:szCs w:val="24"/>
          <w:vertAlign w:val="superscript"/>
        </w:rPr>
        <w:footnoteReference w:id="1"/>
      </w:r>
      <w:r>
        <w:rPr>
          <w:sz w:val="24"/>
          <w:szCs w:val="24"/>
        </w:rPr>
        <w:t xml:space="preserve">. O desenho ou o “risco” é o projeto da canoa que deve ser seguido em todos os detalhes (DIEGUES, 2006). </w:t>
      </w:r>
    </w:p>
    <w:p w:rsidR="001629FC" w:rsidRDefault="00F25DA4" w:rsidP="001629FC">
      <w:pPr>
        <w:ind w:firstLine="720"/>
        <w:jc w:val="both"/>
      </w:pPr>
      <w:r>
        <w:rPr>
          <w:sz w:val="24"/>
          <w:szCs w:val="24"/>
        </w:rPr>
        <w:t xml:space="preserve">Em algumas falas de moradores é possível perceber uma autodenominação caiçara, ainda que os indivíduos </w:t>
      </w:r>
      <w:proofErr w:type="spellStart"/>
      <w:r>
        <w:rPr>
          <w:sz w:val="24"/>
          <w:szCs w:val="24"/>
        </w:rPr>
        <w:t>sejamdecendentes</w:t>
      </w:r>
      <w:proofErr w:type="spellEnd"/>
      <w:r>
        <w:rPr>
          <w:sz w:val="24"/>
          <w:szCs w:val="24"/>
        </w:rPr>
        <w:t xml:space="preserve"> de diferentes etnias. </w:t>
      </w:r>
      <w:r w:rsidR="001629FC">
        <w:rPr>
          <w:sz w:val="24"/>
          <w:szCs w:val="24"/>
        </w:rPr>
        <w:t>Nesse sentido, fica claro que é necessário</w:t>
      </w:r>
      <w:r>
        <w:rPr>
          <w:sz w:val="24"/>
          <w:szCs w:val="24"/>
        </w:rPr>
        <w:t xml:space="preserve"> que a denominação de caiçara se </w:t>
      </w:r>
      <w:proofErr w:type="gramStart"/>
      <w:r>
        <w:rPr>
          <w:sz w:val="24"/>
          <w:szCs w:val="24"/>
        </w:rPr>
        <w:t>remete</w:t>
      </w:r>
      <w:proofErr w:type="gramEnd"/>
      <w:r>
        <w:rPr>
          <w:sz w:val="24"/>
          <w:szCs w:val="24"/>
        </w:rPr>
        <w:t xml:space="preserve"> ao compartilhamento de</w:t>
      </w:r>
      <w:r w:rsidR="001629FC">
        <w:rPr>
          <w:sz w:val="24"/>
          <w:szCs w:val="24"/>
        </w:rPr>
        <w:t xml:space="preserve"> saberes e técnicas característicos </w:t>
      </w:r>
      <w:r>
        <w:rPr>
          <w:sz w:val="24"/>
          <w:szCs w:val="24"/>
        </w:rPr>
        <w:t>da</w:t>
      </w:r>
      <w:r w:rsidR="001629FC">
        <w:rPr>
          <w:sz w:val="24"/>
          <w:szCs w:val="24"/>
        </w:rPr>
        <w:t xml:space="preserve"> cultura</w:t>
      </w:r>
      <w:r>
        <w:rPr>
          <w:sz w:val="24"/>
          <w:szCs w:val="24"/>
        </w:rPr>
        <w:t>, a exemplo de um</w:t>
      </w:r>
      <w:r w:rsidR="001629FC">
        <w:rPr>
          <w:sz w:val="24"/>
          <w:szCs w:val="24"/>
        </w:rPr>
        <w:t xml:space="preserve"> prato típico de sua cultura, o </w:t>
      </w:r>
      <w:r w:rsidR="001629FC">
        <w:rPr>
          <w:i/>
          <w:sz w:val="24"/>
          <w:szCs w:val="24"/>
        </w:rPr>
        <w:t xml:space="preserve">azul-marinho </w:t>
      </w:r>
      <w:r w:rsidR="001629FC">
        <w:rPr>
          <w:sz w:val="24"/>
          <w:szCs w:val="24"/>
        </w:rPr>
        <w:t>(Figura1). A habilidade no preparo do prato remete-se à importância que os territórios, terra e mar possuem na construção de sua cultura, pois os ingredientes necessários ao preparo provêm da terra e do mar. Certos hábitos refletem no espaço do dia a dia do povo caiçara. Em suas casas, existe sempre um espaço reservado para o pomar, onde são encontrados laranjeiras, limoeiros, bananeiras, caramboleiras, pés de araçás, mamoeiros, pitangas, abricós e muitas árvores frutíferas</w:t>
      </w:r>
      <w:proofErr w:type="gramStart"/>
      <w:r w:rsidR="001629FC">
        <w:rPr>
          <w:sz w:val="16"/>
          <w:szCs w:val="16"/>
        </w:rPr>
        <w:t xml:space="preserve"> </w:t>
      </w:r>
      <w:r w:rsidR="001629FC">
        <w:rPr>
          <w:sz w:val="24"/>
          <w:szCs w:val="24"/>
        </w:rPr>
        <w:t xml:space="preserve"> </w:t>
      </w:r>
      <w:proofErr w:type="gramEnd"/>
      <w:r w:rsidR="001629FC">
        <w:rPr>
          <w:sz w:val="24"/>
          <w:szCs w:val="24"/>
        </w:rPr>
        <w:t>(DIEGUES, A. 2004).</w:t>
      </w:r>
    </w:p>
    <w:p w:rsidR="001629FC" w:rsidRDefault="001629FC" w:rsidP="001629FC">
      <w:pPr>
        <w:ind w:firstLine="720"/>
        <w:jc w:val="both"/>
      </w:pPr>
    </w:p>
    <w:p w:rsidR="001629FC" w:rsidRDefault="001629FC" w:rsidP="001629FC">
      <w:pPr>
        <w:ind w:firstLine="720"/>
      </w:pPr>
      <w:r>
        <w:t xml:space="preserve"> </w:t>
      </w:r>
      <w:r>
        <w:rPr>
          <w:noProof/>
        </w:rPr>
        <w:drawing>
          <wp:inline distT="114300" distB="114300" distL="114300" distR="114300" wp14:anchorId="3BA8A27E" wp14:editId="4F6E9589">
            <wp:extent cx="2383506" cy="1585913"/>
            <wp:effectExtent l="0" t="0" r="0" b="0"/>
            <wp:docPr id="1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1"/>
                    <a:srcRect/>
                    <a:stretch>
                      <a:fillRect/>
                    </a:stretch>
                  </pic:blipFill>
                  <pic:spPr>
                    <a:xfrm>
                      <a:off x="0" y="0"/>
                      <a:ext cx="2383506" cy="1585913"/>
                    </a:xfrm>
                    <a:prstGeom prst="rect">
                      <a:avLst/>
                    </a:prstGeom>
                    <a:ln/>
                  </pic:spPr>
                </pic:pic>
              </a:graphicData>
            </a:graphic>
          </wp:inline>
        </w:drawing>
      </w:r>
      <w:r>
        <w:rPr>
          <w:noProof/>
        </w:rPr>
        <w:drawing>
          <wp:inline distT="114300" distB="114300" distL="114300" distR="114300" wp14:anchorId="606B99D6" wp14:editId="1AF98441">
            <wp:extent cx="2413163" cy="1547753"/>
            <wp:effectExtent l="0" t="0" r="0" b="0"/>
            <wp:docPr id="11"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2"/>
                    <a:srcRect/>
                    <a:stretch>
                      <a:fillRect/>
                    </a:stretch>
                  </pic:blipFill>
                  <pic:spPr>
                    <a:xfrm>
                      <a:off x="0" y="0"/>
                      <a:ext cx="2413163" cy="1547753"/>
                    </a:xfrm>
                    <a:prstGeom prst="rect">
                      <a:avLst/>
                    </a:prstGeom>
                    <a:ln/>
                  </pic:spPr>
                </pic:pic>
              </a:graphicData>
            </a:graphic>
          </wp:inline>
        </w:drawing>
      </w:r>
    </w:p>
    <w:p w:rsidR="001629FC" w:rsidRDefault="001629FC" w:rsidP="001629FC">
      <w:pPr>
        <w:ind w:firstLine="700"/>
      </w:pPr>
      <w:r>
        <w:t xml:space="preserve">Figura 1 e 2: À esquerda, comida típica caiçara </w:t>
      </w:r>
      <w:proofErr w:type="gramStart"/>
      <w:r>
        <w:rPr>
          <w:i/>
        </w:rPr>
        <w:t>azul-marinho</w:t>
      </w:r>
      <w:r>
        <w:rPr>
          <w:b/>
          <w:i/>
          <w:vertAlign w:val="superscript"/>
        </w:rPr>
        <w:t>[</w:t>
      </w:r>
      <w:proofErr w:type="gramEnd"/>
      <w:r>
        <w:rPr>
          <w:b/>
          <w:i/>
          <w:vertAlign w:val="superscript"/>
        </w:rPr>
        <w:t>1]</w:t>
      </w:r>
      <w:r>
        <w:rPr>
          <w:i/>
        </w:rPr>
        <w:t xml:space="preserve"> </w:t>
      </w:r>
      <w:r>
        <w:t>e à direita, canoas pesqueiras em Paranaguá</w:t>
      </w:r>
      <w:r>
        <w:rPr>
          <w:vertAlign w:val="superscript"/>
        </w:rPr>
        <w:t>[2]</w:t>
      </w:r>
      <w:r>
        <w:t>.</w:t>
      </w:r>
    </w:p>
    <w:p w:rsidR="001629FC" w:rsidRDefault="001629FC" w:rsidP="001629FC">
      <w:pPr>
        <w:ind w:firstLine="700"/>
      </w:pPr>
      <w:r>
        <w:t xml:space="preserve"> </w:t>
      </w:r>
    </w:p>
    <w:p w:rsidR="001629FC" w:rsidRDefault="001629FC" w:rsidP="001629FC">
      <w:pPr>
        <w:ind w:firstLine="700"/>
        <w:jc w:val="both"/>
      </w:pPr>
      <w:r>
        <w:rPr>
          <w:sz w:val="24"/>
          <w:szCs w:val="24"/>
        </w:rPr>
        <w:lastRenderedPageBreak/>
        <w:t xml:space="preserve">Os cultivos de arroz, do feijão e do milho são feitos em terrenos de maior fertilidade, no interior da propriedade. A rica culinária acompanha também ritos e hábitos que vivem até os tempos de hoje </w:t>
      </w:r>
      <w:proofErr w:type="gramStart"/>
      <w:r>
        <w:rPr>
          <w:sz w:val="24"/>
          <w:szCs w:val="24"/>
        </w:rPr>
        <w:t>sob forte</w:t>
      </w:r>
      <w:proofErr w:type="gramEnd"/>
      <w:r>
        <w:rPr>
          <w:sz w:val="24"/>
          <w:szCs w:val="24"/>
        </w:rPr>
        <w:t xml:space="preserve"> influência da música, do ritmo e da dança e que refletem na hora do preparo como é citado no trecho:</w:t>
      </w:r>
    </w:p>
    <w:p w:rsidR="001629FC" w:rsidRDefault="001629FC" w:rsidP="001629FC">
      <w:pPr>
        <w:ind w:left="700"/>
        <w:jc w:val="both"/>
      </w:pPr>
      <w:r>
        <w:t xml:space="preserve"> </w:t>
      </w:r>
    </w:p>
    <w:p w:rsidR="001629FC" w:rsidRDefault="001629FC" w:rsidP="001629FC">
      <w:pPr>
        <w:ind w:left="1420"/>
        <w:jc w:val="both"/>
      </w:pPr>
      <w:r>
        <w:rPr>
          <w:sz w:val="24"/>
          <w:szCs w:val="24"/>
        </w:rPr>
        <w:t xml:space="preserve">“[...] o batimento do arroz constitui uma cerimônia celebrada do seguinte modo: espalham o arroz em cacho sobre o chão de uma sala e fazem um fandango por cima. Ao som do tambor, batem o pé, moços e moças, o dia inteiro e à noite, até o amanhecer; depois, jogam a palha e põe o arroz em outra sala, repetem esse fato até bater toda a safra de arroz. Quando </w:t>
      </w:r>
      <w:proofErr w:type="gramStart"/>
      <w:r>
        <w:rPr>
          <w:sz w:val="24"/>
          <w:szCs w:val="24"/>
        </w:rPr>
        <w:t>acabam</w:t>
      </w:r>
      <w:proofErr w:type="gramEnd"/>
      <w:r>
        <w:rPr>
          <w:sz w:val="24"/>
          <w:szCs w:val="24"/>
        </w:rPr>
        <w:t xml:space="preserve"> o fandango, que é ritmado por um tambor e, às vezes, acompanhado por uma rabeca, estão todos bêbados de pinga e de cansaço” (</w:t>
      </w:r>
      <w:proofErr w:type="spellStart"/>
      <w:r>
        <w:rPr>
          <w:sz w:val="24"/>
          <w:szCs w:val="24"/>
        </w:rPr>
        <w:t>Pierson</w:t>
      </w:r>
      <w:proofErr w:type="spellEnd"/>
      <w:r>
        <w:rPr>
          <w:sz w:val="24"/>
          <w:szCs w:val="24"/>
        </w:rPr>
        <w:t>, apud Diegues, 1983, p.179).</w:t>
      </w:r>
    </w:p>
    <w:p w:rsidR="001629FC" w:rsidRDefault="001629FC" w:rsidP="001629FC">
      <w:r>
        <w:t xml:space="preserve"> </w:t>
      </w:r>
    </w:p>
    <w:p w:rsidR="001629FC" w:rsidRDefault="001629FC" w:rsidP="001629FC">
      <w:pPr>
        <w:ind w:firstLine="700"/>
        <w:jc w:val="both"/>
      </w:pPr>
      <w:r>
        <w:rPr>
          <w:sz w:val="24"/>
          <w:szCs w:val="24"/>
        </w:rPr>
        <w:t xml:space="preserve">O fandango tão característico e marcante da região é uma confraternização de alegria compartilhada com toda a comunidade. As músicas também chamadas de modas ou </w:t>
      </w:r>
      <w:r>
        <w:rPr>
          <w:i/>
          <w:sz w:val="24"/>
          <w:szCs w:val="24"/>
        </w:rPr>
        <w:t>marcas</w:t>
      </w:r>
      <w:r>
        <w:rPr>
          <w:sz w:val="24"/>
          <w:szCs w:val="24"/>
        </w:rPr>
        <w:t xml:space="preserve"> são divididas em temas. As estrofes das cantigas são formadas por quatro versos e normalmente as rimas acontecem com o segundo e o quarto verso, intercalando-as com os refrãos os quais são repetidos entre elas (CORRÊA, J; GRAMANI, D; PIMENTEL, A. (</w:t>
      </w:r>
      <w:proofErr w:type="spellStart"/>
      <w:r>
        <w:rPr>
          <w:sz w:val="24"/>
          <w:szCs w:val="24"/>
        </w:rPr>
        <w:t>org</w:t>
      </w:r>
      <w:proofErr w:type="spellEnd"/>
      <w:r>
        <w:rPr>
          <w:sz w:val="24"/>
          <w:szCs w:val="24"/>
        </w:rPr>
        <w:t>). 2006).</w:t>
      </w:r>
      <w:r>
        <w:rPr>
          <w:sz w:val="16"/>
          <w:szCs w:val="16"/>
        </w:rPr>
        <w:t xml:space="preserve"> </w:t>
      </w:r>
    </w:p>
    <w:p w:rsidR="001629FC" w:rsidRDefault="001629FC" w:rsidP="001629FC">
      <w:pPr>
        <w:ind w:firstLine="700"/>
        <w:jc w:val="both"/>
      </w:pPr>
      <w:r>
        <w:rPr>
          <w:sz w:val="24"/>
          <w:szCs w:val="24"/>
        </w:rPr>
        <w:t>Em tempos mais antigos, os senhores de terra que possuíam grandes plantações ofereciam cargos aos moradores para trabalharem durante o ano e nas épocas de colheita eram realizadas as festas de fandango em comemoração. O fandango nasceu com o festejo da fartura ao fim dessas épocas e eram realizados grandes banquetes pela manhã, tarde e noite; música durante todo um dia, bebidas e dança. Havia regras que marcavam e faziam da festa um local de confraternização para todos (referência oral de um morador local).</w:t>
      </w:r>
    </w:p>
    <w:p w:rsidR="001629FC" w:rsidRDefault="001629FC" w:rsidP="001629FC">
      <w:pPr>
        <w:ind w:firstLine="700"/>
        <w:jc w:val="both"/>
      </w:pPr>
      <w:r>
        <w:rPr>
          <w:sz w:val="24"/>
          <w:szCs w:val="24"/>
        </w:rPr>
        <w:t xml:space="preserve">As comunidades caiçaras comemoram, com fandango, os aniversários, casamentos, batizados, a Festa de São Pedro, romarias do Divino, e a louvação a São Gonçalo feita na abertura do fandango como pagamento de promessas. Os bailes são acompanhados de mesas fartas (pratos à base de peixe, mariscos, farinha de mandioca e de milho, carne de caça, doces, cachaças curtidas em ervas ou com melado). Nesse momento, a comunidade atualiza as notícias e </w:t>
      </w:r>
      <w:proofErr w:type="gramStart"/>
      <w:r>
        <w:rPr>
          <w:sz w:val="24"/>
          <w:szCs w:val="24"/>
        </w:rPr>
        <w:t>reforça</w:t>
      </w:r>
      <w:proofErr w:type="gramEnd"/>
      <w:r>
        <w:rPr>
          <w:sz w:val="24"/>
          <w:szCs w:val="24"/>
        </w:rPr>
        <w:t xml:space="preserve"> as </w:t>
      </w:r>
      <w:r>
        <w:rPr>
          <w:sz w:val="24"/>
          <w:szCs w:val="24"/>
        </w:rPr>
        <w:lastRenderedPageBreak/>
        <w:t>relações de parentesco, a convivência entre tocadores, dançadores e a comunidade mantém a memória e a prática das diferentes músicas e danças, e a continuidade do conhecimento musical em torno do fandango e sua evolução. Por meio do fandango, todo um sistema cultural se produz e reproduz, com diversas formas de execução de instrumentos musicais (viola, rabeca, adufo, violão e cavaquinho, além de instrumentos de percussão), melodias, versos e coreografias (</w:t>
      </w:r>
      <w:proofErr w:type="gramStart"/>
      <w:r>
        <w:rPr>
          <w:sz w:val="24"/>
          <w:szCs w:val="24"/>
        </w:rPr>
        <w:t>IPHAN,</w:t>
      </w:r>
      <w:proofErr w:type="gramEnd"/>
      <w:r>
        <w:rPr>
          <w:sz w:val="24"/>
          <w:szCs w:val="24"/>
        </w:rPr>
        <w:t>2013).</w:t>
      </w:r>
    </w:p>
    <w:p w:rsidR="001629FC" w:rsidRDefault="001629FC" w:rsidP="001629FC">
      <w:pPr>
        <w:ind w:firstLine="700"/>
      </w:pPr>
      <w:r>
        <w:rPr>
          <w:noProof/>
        </w:rPr>
        <w:drawing>
          <wp:inline distT="114300" distB="114300" distL="114300" distR="114300" wp14:anchorId="5E0EF86E" wp14:editId="7F5D845A">
            <wp:extent cx="3794288" cy="3794288"/>
            <wp:effectExtent l="0" t="0" r="0" b="0"/>
            <wp:docPr id="14"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3"/>
                    <a:srcRect/>
                    <a:stretch>
                      <a:fillRect/>
                    </a:stretch>
                  </pic:blipFill>
                  <pic:spPr>
                    <a:xfrm>
                      <a:off x="0" y="0"/>
                      <a:ext cx="3794288" cy="3794288"/>
                    </a:xfrm>
                    <a:prstGeom prst="rect">
                      <a:avLst/>
                    </a:prstGeom>
                    <a:ln/>
                  </pic:spPr>
                </pic:pic>
              </a:graphicData>
            </a:graphic>
          </wp:inline>
        </w:drawing>
      </w:r>
    </w:p>
    <w:p w:rsidR="001629FC" w:rsidRDefault="001629FC" w:rsidP="001629FC">
      <w:pPr>
        <w:ind w:firstLine="700"/>
      </w:pPr>
      <w:r>
        <w:rPr>
          <w:sz w:val="24"/>
          <w:szCs w:val="24"/>
        </w:rPr>
        <w:t>Figura 3: Capa do disco Fandango do Paraná.</w:t>
      </w:r>
    </w:p>
    <w:p w:rsidR="001629FC" w:rsidRDefault="001629FC" w:rsidP="001629FC">
      <w:pPr>
        <w:ind w:firstLine="700"/>
      </w:pPr>
      <w:r>
        <w:t xml:space="preserve"> </w:t>
      </w:r>
    </w:p>
    <w:p w:rsidR="001629FC" w:rsidRDefault="001629FC" w:rsidP="001629FC">
      <w:pPr>
        <w:ind w:firstLine="700"/>
        <w:jc w:val="both"/>
      </w:pPr>
      <w:r>
        <w:rPr>
          <w:sz w:val="24"/>
          <w:szCs w:val="24"/>
        </w:rPr>
        <w:t xml:space="preserve">Nos dias de hoje, o fandango vem sofrendo uma perda significativa de membros e adeptos da tradição. Com a </w:t>
      </w:r>
      <w:proofErr w:type="gramStart"/>
      <w:r>
        <w:rPr>
          <w:sz w:val="24"/>
          <w:szCs w:val="24"/>
        </w:rPr>
        <w:t>implementação</w:t>
      </w:r>
      <w:proofErr w:type="gramEnd"/>
      <w:r>
        <w:rPr>
          <w:sz w:val="24"/>
          <w:szCs w:val="24"/>
        </w:rPr>
        <w:t xml:space="preserve"> de leis ambientais e proibição dos plantios que os senhores de terra possuíam, a</w:t>
      </w:r>
      <w:r w:rsidR="002C62AA">
        <w:rPr>
          <w:sz w:val="24"/>
          <w:szCs w:val="24"/>
        </w:rPr>
        <w:t xml:space="preserve"> colheita, motivo pelo qual se festejava, passou a quase não existir. Havendo um descolamento das práticas de suas tradições e também com a inserção de novos valores culturais, há uma </w:t>
      </w:r>
      <w:proofErr w:type="spellStart"/>
      <w:r w:rsidR="002C62AA">
        <w:rPr>
          <w:sz w:val="24"/>
          <w:szCs w:val="24"/>
        </w:rPr>
        <w:t>devalorização</w:t>
      </w:r>
      <w:proofErr w:type="spellEnd"/>
      <w:r w:rsidR="002C62AA">
        <w:rPr>
          <w:sz w:val="24"/>
          <w:szCs w:val="24"/>
        </w:rPr>
        <w:t xml:space="preserve"> da tradição e a consequente perda dos saberes a ela relacionados. O fandango passa então</w:t>
      </w:r>
      <w:r w:rsidR="00072D3C">
        <w:rPr>
          <w:sz w:val="24"/>
          <w:szCs w:val="24"/>
        </w:rPr>
        <w:t xml:space="preserve"> passa </w:t>
      </w:r>
      <w:r w:rsidR="002C62AA">
        <w:rPr>
          <w:sz w:val="24"/>
          <w:szCs w:val="24"/>
        </w:rPr>
        <w:t xml:space="preserve">por </w:t>
      </w:r>
      <w:r w:rsidR="00072D3C">
        <w:rPr>
          <w:sz w:val="24"/>
          <w:szCs w:val="24"/>
        </w:rPr>
        <w:t>um momento de reinvenção</w:t>
      </w:r>
      <w:r w:rsidR="002C62AA">
        <w:rPr>
          <w:sz w:val="24"/>
          <w:szCs w:val="24"/>
        </w:rPr>
        <w:t>,</w:t>
      </w:r>
      <w:r w:rsidR="00072D3C">
        <w:rPr>
          <w:sz w:val="24"/>
          <w:szCs w:val="24"/>
        </w:rPr>
        <w:t xml:space="preserve"> no qual os fandangueiros mais </w:t>
      </w:r>
      <w:r w:rsidR="002C62AA">
        <w:rPr>
          <w:sz w:val="24"/>
          <w:szCs w:val="24"/>
        </w:rPr>
        <w:t xml:space="preserve">jovens </w:t>
      </w:r>
      <w:r w:rsidR="00072D3C">
        <w:rPr>
          <w:sz w:val="24"/>
          <w:szCs w:val="24"/>
        </w:rPr>
        <w:t xml:space="preserve">buscam mantê-lo </w:t>
      </w:r>
      <w:proofErr w:type="gramStart"/>
      <w:r w:rsidR="00072D3C">
        <w:rPr>
          <w:sz w:val="24"/>
          <w:szCs w:val="24"/>
        </w:rPr>
        <w:t>vivo</w:t>
      </w:r>
      <w:r w:rsidR="002C62AA">
        <w:rPr>
          <w:sz w:val="24"/>
          <w:szCs w:val="24"/>
        </w:rPr>
        <w:t>,</w:t>
      </w:r>
      <w:proofErr w:type="gramEnd"/>
      <w:r w:rsidR="002C62AA">
        <w:rPr>
          <w:sz w:val="24"/>
          <w:szCs w:val="24"/>
        </w:rPr>
        <w:t xml:space="preserve"> num esforço de valorização da cultura que deve ser reafirmado. </w:t>
      </w:r>
    </w:p>
    <w:p w:rsidR="001629FC" w:rsidRDefault="001629FC" w:rsidP="001629FC">
      <w:pPr>
        <w:ind w:firstLine="700"/>
        <w:jc w:val="both"/>
      </w:pPr>
      <w:r>
        <w:rPr>
          <w:sz w:val="24"/>
          <w:szCs w:val="24"/>
        </w:rPr>
        <w:lastRenderedPageBreak/>
        <w:t>Abaixo, algumas ilustrações de costumes e hábitos caiçara seguidas da cantiga Cana Verde, a qual ilustra bem o sentido de satisfação ao fim de cada colheita:</w:t>
      </w:r>
      <w:r w:rsidR="00072D3C">
        <w:rPr>
          <w:sz w:val="24"/>
          <w:szCs w:val="24"/>
        </w:rPr>
        <w:t xml:space="preserve"> </w:t>
      </w:r>
    </w:p>
    <w:p w:rsidR="001629FC" w:rsidRDefault="001629FC" w:rsidP="001629FC">
      <w:pPr>
        <w:jc w:val="both"/>
      </w:pPr>
      <w:r>
        <w:t xml:space="preserve"> </w:t>
      </w:r>
    </w:p>
    <w:p w:rsidR="001629FC" w:rsidRDefault="001629FC" w:rsidP="001629FC">
      <w:r>
        <w:rPr>
          <w:sz w:val="24"/>
          <w:szCs w:val="24"/>
        </w:rPr>
        <w:t>Cana Verde</w:t>
      </w:r>
    </w:p>
    <w:p w:rsidR="001629FC" w:rsidRDefault="001629FC" w:rsidP="001629FC">
      <w:r>
        <w:rPr>
          <w:sz w:val="24"/>
          <w:szCs w:val="24"/>
        </w:rPr>
        <w:t>I</w:t>
      </w:r>
    </w:p>
    <w:p w:rsidR="001629FC" w:rsidRDefault="001629FC" w:rsidP="001629FC">
      <w:r>
        <w:rPr>
          <w:sz w:val="24"/>
          <w:szCs w:val="24"/>
        </w:rPr>
        <w:t>Eu plantei a cana verde</w:t>
      </w:r>
    </w:p>
    <w:p w:rsidR="001629FC" w:rsidRDefault="001629FC" w:rsidP="001629FC">
      <w:r>
        <w:rPr>
          <w:sz w:val="24"/>
          <w:szCs w:val="24"/>
        </w:rPr>
        <w:t xml:space="preserve">Sete </w:t>
      </w:r>
      <w:proofErr w:type="spellStart"/>
      <w:r>
        <w:rPr>
          <w:sz w:val="24"/>
          <w:szCs w:val="24"/>
        </w:rPr>
        <w:t>parmo</w:t>
      </w:r>
      <w:proofErr w:type="spellEnd"/>
      <w:r>
        <w:rPr>
          <w:sz w:val="24"/>
          <w:szCs w:val="24"/>
        </w:rPr>
        <w:t xml:space="preserve"> de fundura</w:t>
      </w:r>
    </w:p>
    <w:p w:rsidR="001629FC" w:rsidRDefault="001629FC" w:rsidP="001629FC">
      <w:r>
        <w:rPr>
          <w:sz w:val="24"/>
          <w:szCs w:val="24"/>
        </w:rPr>
        <w:t>Eu plantei a cana verde</w:t>
      </w:r>
    </w:p>
    <w:p w:rsidR="001629FC" w:rsidRDefault="001629FC" w:rsidP="001629FC">
      <w:r>
        <w:rPr>
          <w:sz w:val="24"/>
          <w:szCs w:val="24"/>
        </w:rPr>
        <w:t xml:space="preserve">Sete </w:t>
      </w:r>
      <w:proofErr w:type="spellStart"/>
      <w:r>
        <w:rPr>
          <w:sz w:val="24"/>
          <w:szCs w:val="24"/>
        </w:rPr>
        <w:t>parmo</w:t>
      </w:r>
      <w:proofErr w:type="spellEnd"/>
      <w:r>
        <w:rPr>
          <w:sz w:val="24"/>
          <w:szCs w:val="24"/>
        </w:rPr>
        <w:t xml:space="preserve"> de fundura</w:t>
      </w:r>
    </w:p>
    <w:p w:rsidR="001629FC" w:rsidRDefault="001629FC" w:rsidP="001629FC">
      <w:r>
        <w:rPr>
          <w:sz w:val="24"/>
          <w:szCs w:val="24"/>
        </w:rPr>
        <w:t>Quando foi de manhã cedo</w:t>
      </w:r>
    </w:p>
    <w:p w:rsidR="001629FC" w:rsidRDefault="001629FC" w:rsidP="001629FC">
      <w:r>
        <w:rPr>
          <w:sz w:val="24"/>
          <w:szCs w:val="24"/>
        </w:rPr>
        <w:t>Já cortei cana madura</w:t>
      </w:r>
    </w:p>
    <w:p w:rsidR="001629FC" w:rsidRDefault="001629FC" w:rsidP="001629FC">
      <w:r>
        <w:rPr>
          <w:sz w:val="24"/>
          <w:szCs w:val="24"/>
        </w:rPr>
        <w:t xml:space="preserve"> </w:t>
      </w:r>
    </w:p>
    <w:p w:rsidR="001629FC" w:rsidRDefault="001629FC" w:rsidP="001629FC">
      <w:r>
        <w:rPr>
          <w:sz w:val="24"/>
          <w:szCs w:val="24"/>
        </w:rPr>
        <w:t>(Refrão)</w:t>
      </w:r>
    </w:p>
    <w:p w:rsidR="001629FC" w:rsidRDefault="001629FC" w:rsidP="001629FC">
      <w:proofErr w:type="spellStart"/>
      <w:r>
        <w:rPr>
          <w:sz w:val="24"/>
          <w:szCs w:val="24"/>
        </w:rPr>
        <w:t>Lari-larai</w:t>
      </w:r>
      <w:proofErr w:type="spellEnd"/>
      <w:r>
        <w:rPr>
          <w:sz w:val="24"/>
          <w:szCs w:val="24"/>
        </w:rPr>
        <w:t xml:space="preserve"> quem escorrega também cai</w:t>
      </w:r>
    </w:p>
    <w:p w:rsidR="001629FC" w:rsidRDefault="001629FC" w:rsidP="001629FC">
      <w:proofErr w:type="spellStart"/>
      <w:r>
        <w:rPr>
          <w:sz w:val="24"/>
          <w:szCs w:val="24"/>
        </w:rPr>
        <w:t>Larai</w:t>
      </w:r>
      <w:proofErr w:type="spellEnd"/>
      <w:r>
        <w:rPr>
          <w:sz w:val="24"/>
          <w:szCs w:val="24"/>
        </w:rPr>
        <w:t xml:space="preserve"> meu bem, quem escorrega cai </w:t>
      </w:r>
      <w:proofErr w:type="gramStart"/>
      <w:r>
        <w:rPr>
          <w:sz w:val="24"/>
          <w:szCs w:val="24"/>
        </w:rPr>
        <w:t>também</w:t>
      </w:r>
      <w:proofErr w:type="gramEnd"/>
    </w:p>
    <w:p w:rsidR="001629FC" w:rsidRDefault="001629FC" w:rsidP="001629FC">
      <w:r>
        <w:rPr>
          <w:sz w:val="24"/>
          <w:szCs w:val="24"/>
        </w:rPr>
        <w:t>Tudo isso acontece no amar e querer bem</w:t>
      </w:r>
    </w:p>
    <w:p w:rsidR="001629FC" w:rsidRDefault="001629FC" w:rsidP="001629FC">
      <w:r>
        <w:rPr>
          <w:sz w:val="24"/>
          <w:szCs w:val="24"/>
        </w:rPr>
        <w:t>II</w:t>
      </w:r>
    </w:p>
    <w:p w:rsidR="001629FC" w:rsidRDefault="001629FC" w:rsidP="001629FC">
      <w:r>
        <w:rPr>
          <w:sz w:val="24"/>
          <w:szCs w:val="24"/>
        </w:rPr>
        <w:t>A moda da cana verde</w:t>
      </w:r>
    </w:p>
    <w:p w:rsidR="001629FC" w:rsidRDefault="001629FC" w:rsidP="001629FC">
      <w:r>
        <w:rPr>
          <w:sz w:val="24"/>
          <w:szCs w:val="24"/>
        </w:rPr>
        <w:t>Veio de Montevidéu</w:t>
      </w:r>
    </w:p>
    <w:p w:rsidR="001629FC" w:rsidRDefault="001629FC" w:rsidP="001629FC">
      <w:r>
        <w:rPr>
          <w:sz w:val="24"/>
          <w:szCs w:val="24"/>
        </w:rPr>
        <w:t>A moda da cana verde</w:t>
      </w:r>
    </w:p>
    <w:p w:rsidR="001629FC" w:rsidRDefault="001629FC" w:rsidP="001629FC">
      <w:r>
        <w:rPr>
          <w:sz w:val="24"/>
          <w:szCs w:val="24"/>
        </w:rPr>
        <w:t>Veio de Montevidéu</w:t>
      </w:r>
    </w:p>
    <w:p w:rsidR="001629FC" w:rsidRDefault="001629FC" w:rsidP="001629FC">
      <w:r>
        <w:rPr>
          <w:sz w:val="24"/>
          <w:szCs w:val="24"/>
        </w:rPr>
        <w:t>Quem não dança a cana verde</w:t>
      </w:r>
    </w:p>
    <w:p w:rsidR="001629FC" w:rsidRDefault="001629FC" w:rsidP="001629FC">
      <w:r>
        <w:rPr>
          <w:sz w:val="24"/>
          <w:szCs w:val="24"/>
        </w:rPr>
        <w:t xml:space="preserve">Morrendo não vai </w:t>
      </w:r>
      <w:proofErr w:type="gramStart"/>
      <w:r>
        <w:rPr>
          <w:sz w:val="24"/>
          <w:szCs w:val="24"/>
        </w:rPr>
        <w:t>pro céu</w:t>
      </w:r>
      <w:proofErr w:type="gramEnd"/>
    </w:p>
    <w:p w:rsidR="001629FC" w:rsidRDefault="001629FC" w:rsidP="001629FC">
      <w:r>
        <w:rPr>
          <w:sz w:val="24"/>
          <w:szCs w:val="24"/>
        </w:rPr>
        <w:t>Refrão</w:t>
      </w:r>
    </w:p>
    <w:p w:rsidR="001629FC" w:rsidRDefault="001629FC" w:rsidP="001629FC">
      <w:r>
        <w:rPr>
          <w:sz w:val="24"/>
          <w:szCs w:val="24"/>
        </w:rPr>
        <w:t>III</w:t>
      </w:r>
    </w:p>
    <w:p w:rsidR="001629FC" w:rsidRDefault="001629FC" w:rsidP="001629FC">
      <w:r>
        <w:rPr>
          <w:sz w:val="24"/>
          <w:szCs w:val="24"/>
        </w:rPr>
        <w:t>A moda da cana verde</w:t>
      </w:r>
    </w:p>
    <w:p w:rsidR="001629FC" w:rsidRDefault="001629FC" w:rsidP="001629FC">
      <w:r>
        <w:rPr>
          <w:sz w:val="24"/>
          <w:szCs w:val="24"/>
        </w:rPr>
        <w:t xml:space="preserve">Veio do norte </w:t>
      </w:r>
      <w:proofErr w:type="spellStart"/>
      <w:r>
        <w:rPr>
          <w:sz w:val="24"/>
          <w:szCs w:val="24"/>
        </w:rPr>
        <w:t>c’o</w:t>
      </w:r>
      <w:proofErr w:type="spellEnd"/>
      <w:r>
        <w:rPr>
          <w:sz w:val="24"/>
          <w:szCs w:val="24"/>
        </w:rPr>
        <w:t xml:space="preserve"> vento</w:t>
      </w:r>
    </w:p>
    <w:p w:rsidR="001629FC" w:rsidRDefault="001629FC" w:rsidP="001629FC">
      <w:r>
        <w:rPr>
          <w:sz w:val="24"/>
          <w:szCs w:val="24"/>
        </w:rPr>
        <w:t>A moda da cana verde</w:t>
      </w:r>
    </w:p>
    <w:p w:rsidR="001629FC" w:rsidRDefault="001629FC" w:rsidP="001629FC">
      <w:r>
        <w:rPr>
          <w:sz w:val="24"/>
          <w:szCs w:val="24"/>
        </w:rPr>
        <w:t xml:space="preserve">Veio do norte </w:t>
      </w:r>
      <w:proofErr w:type="spellStart"/>
      <w:r>
        <w:rPr>
          <w:sz w:val="24"/>
          <w:szCs w:val="24"/>
        </w:rPr>
        <w:t>c’o</w:t>
      </w:r>
      <w:proofErr w:type="spellEnd"/>
      <w:r>
        <w:rPr>
          <w:sz w:val="24"/>
          <w:szCs w:val="24"/>
        </w:rPr>
        <w:t xml:space="preserve"> vento</w:t>
      </w:r>
    </w:p>
    <w:p w:rsidR="001629FC" w:rsidRDefault="001629FC" w:rsidP="001629FC">
      <w:r>
        <w:rPr>
          <w:sz w:val="24"/>
          <w:szCs w:val="24"/>
        </w:rPr>
        <w:t>E as moças mandaram vir</w:t>
      </w:r>
    </w:p>
    <w:p w:rsidR="001629FC" w:rsidRDefault="001629FC" w:rsidP="001629FC">
      <w:r>
        <w:rPr>
          <w:sz w:val="24"/>
          <w:szCs w:val="24"/>
        </w:rPr>
        <w:t>Para seu divertimento</w:t>
      </w:r>
    </w:p>
    <w:p w:rsidR="001629FC" w:rsidRDefault="001629FC" w:rsidP="001629FC">
      <w:r>
        <w:rPr>
          <w:sz w:val="24"/>
          <w:szCs w:val="24"/>
        </w:rPr>
        <w:t>Refrão</w:t>
      </w:r>
    </w:p>
    <w:p w:rsidR="001629FC" w:rsidRDefault="001629FC" w:rsidP="001629FC">
      <w:pPr>
        <w:ind w:left="1440" w:firstLine="720"/>
      </w:pPr>
      <w:r>
        <w:rPr>
          <w:sz w:val="24"/>
          <w:szCs w:val="24"/>
        </w:rPr>
        <w:lastRenderedPageBreak/>
        <w:t xml:space="preserve"> </w:t>
      </w:r>
    </w:p>
    <w:p w:rsidR="001629FC" w:rsidRDefault="001629FC" w:rsidP="001629FC">
      <w:pPr>
        <w:ind w:left="1440" w:firstLine="720"/>
      </w:pPr>
      <w:r>
        <w:t xml:space="preserve"> </w:t>
      </w:r>
    </w:p>
    <w:p w:rsidR="001629FC" w:rsidRDefault="001629FC" w:rsidP="001629FC">
      <w:pPr>
        <w:spacing w:after="240"/>
      </w:pPr>
      <w:r>
        <w:rPr>
          <w:sz w:val="24"/>
          <w:szCs w:val="24"/>
        </w:rPr>
        <w:t>(PINTO. C. I</w:t>
      </w:r>
      <w:proofErr w:type="gramStart"/>
      <w:r>
        <w:rPr>
          <w:sz w:val="24"/>
          <w:szCs w:val="24"/>
        </w:rPr>
        <w:t>.,</w:t>
      </w:r>
      <w:proofErr w:type="gramEnd"/>
      <w:r>
        <w:rPr>
          <w:sz w:val="24"/>
          <w:szCs w:val="24"/>
        </w:rPr>
        <w:t xml:space="preserve"> 1992)</w:t>
      </w:r>
      <w:r>
        <w:t xml:space="preserve"> </w:t>
      </w:r>
    </w:p>
    <w:p w:rsidR="001629FC" w:rsidRDefault="001629FC" w:rsidP="001629FC">
      <w:r>
        <w:rPr>
          <w:noProof/>
        </w:rPr>
        <w:drawing>
          <wp:inline distT="114300" distB="114300" distL="114300" distR="114300" wp14:anchorId="7469CDC3" wp14:editId="1A079772">
            <wp:extent cx="1571625" cy="2486025"/>
            <wp:effectExtent l="0" t="0" r="0" b="0"/>
            <wp:docPr id="16"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4"/>
                    <a:srcRect/>
                    <a:stretch>
                      <a:fillRect/>
                    </a:stretch>
                  </pic:blipFill>
                  <pic:spPr>
                    <a:xfrm>
                      <a:off x="0" y="0"/>
                      <a:ext cx="1571625" cy="2486025"/>
                    </a:xfrm>
                    <a:prstGeom prst="rect">
                      <a:avLst/>
                    </a:prstGeom>
                    <a:ln/>
                  </pic:spPr>
                </pic:pic>
              </a:graphicData>
            </a:graphic>
          </wp:inline>
        </w:drawing>
      </w:r>
      <w:r>
        <w:rPr>
          <w:noProof/>
        </w:rPr>
        <w:drawing>
          <wp:inline distT="114300" distB="114300" distL="114300" distR="114300" wp14:anchorId="3049AF94" wp14:editId="15E19F54">
            <wp:extent cx="2362200" cy="2476500"/>
            <wp:effectExtent l="0" t="0" r="0" b="0"/>
            <wp:docPr id="17" name="image08.png"/>
            <wp:cNvGraphicFramePr/>
            <a:graphic xmlns:a="http://schemas.openxmlformats.org/drawingml/2006/main">
              <a:graphicData uri="http://schemas.openxmlformats.org/drawingml/2006/picture">
                <pic:pic xmlns:pic="http://schemas.openxmlformats.org/drawingml/2006/picture">
                  <pic:nvPicPr>
                    <pic:cNvPr id="0" name="image08.png"/>
                    <pic:cNvPicPr preferRelativeResize="0"/>
                  </pic:nvPicPr>
                  <pic:blipFill>
                    <a:blip r:embed="rId15"/>
                    <a:srcRect/>
                    <a:stretch>
                      <a:fillRect/>
                    </a:stretch>
                  </pic:blipFill>
                  <pic:spPr>
                    <a:xfrm>
                      <a:off x="0" y="0"/>
                      <a:ext cx="2362200" cy="2476500"/>
                    </a:xfrm>
                    <a:prstGeom prst="rect">
                      <a:avLst/>
                    </a:prstGeom>
                    <a:ln/>
                  </pic:spPr>
                </pic:pic>
              </a:graphicData>
            </a:graphic>
          </wp:inline>
        </w:drawing>
      </w:r>
    </w:p>
    <w:p w:rsidR="001629FC" w:rsidRDefault="001629FC" w:rsidP="001629FC">
      <w:r>
        <w:t xml:space="preserve">Figura 4 e 5: Instrumentos pertencentes a Eugênio dos Santos, Paranaguá, à </w:t>
      </w:r>
      <w:proofErr w:type="gramStart"/>
      <w:r>
        <w:t>esquerda</w:t>
      </w:r>
      <w:r>
        <w:rPr>
          <w:vertAlign w:val="superscript"/>
        </w:rPr>
        <w:t>[</w:t>
      </w:r>
      <w:proofErr w:type="gramEnd"/>
      <w:r>
        <w:rPr>
          <w:vertAlign w:val="superscript"/>
        </w:rPr>
        <w:t>4]</w:t>
      </w:r>
      <w:r>
        <w:t xml:space="preserve"> e à direita foto com Nilo Pereira violeiro e construtor de instrumentos em Guaraqueçaba</w:t>
      </w:r>
      <w:r>
        <w:rPr>
          <w:vertAlign w:val="superscript"/>
        </w:rPr>
        <w:t>[5]</w:t>
      </w:r>
      <w:r>
        <w:t>.</w:t>
      </w:r>
    </w:p>
    <w:p w:rsidR="001629FC" w:rsidRDefault="001629FC" w:rsidP="001629FC"/>
    <w:p w:rsidR="001629FC" w:rsidRDefault="001629FC" w:rsidP="001629FC">
      <w:r>
        <w:rPr>
          <w:noProof/>
        </w:rPr>
        <w:drawing>
          <wp:inline distT="114300" distB="114300" distL="114300" distR="114300" wp14:anchorId="0D2CE47E" wp14:editId="0E46619C">
            <wp:extent cx="2438400" cy="1514475"/>
            <wp:effectExtent l="0" t="0" r="0" b="0"/>
            <wp:docPr id="1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6"/>
                    <a:srcRect/>
                    <a:stretch>
                      <a:fillRect/>
                    </a:stretch>
                  </pic:blipFill>
                  <pic:spPr>
                    <a:xfrm>
                      <a:off x="0" y="0"/>
                      <a:ext cx="2438400" cy="1514475"/>
                    </a:xfrm>
                    <a:prstGeom prst="rect">
                      <a:avLst/>
                    </a:prstGeom>
                    <a:ln/>
                  </pic:spPr>
                </pic:pic>
              </a:graphicData>
            </a:graphic>
          </wp:inline>
        </w:drawing>
      </w:r>
      <w:r>
        <w:rPr>
          <w:noProof/>
        </w:rPr>
        <w:drawing>
          <wp:inline distT="114300" distB="114300" distL="114300" distR="114300" wp14:anchorId="3D1B5B1D" wp14:editId="5D833F46">
            <wp:extent cx="2667000" cy="1504950"/>
            <wp:effectExtent l="0" t="0" r="0" b="0"/>
            <wp:docPr id="20"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7"/>
                    <a:srcRect/>
                    <a:stretch>
                      <a:fillRect/>
                    </a:stretch>
                  </pic:blipFill>
                  <pic:spPr>
                    <a:xfrm>
                      <a:off x="0" y="0"/>
                      <a:ext cx="2667000" cy="1504950"/>
                    </a:xfrm>
                    <a:prstGeom prst="rect">
                      <a:avLst/>
                    </a:prstGeom>
                    <a:ln/>
                  </pic:spPr>
                </pic:pic>
              </a:graphicData>
            </a:graphic>
          </wp:inline>
        </w:drawing>
      </w:r>
    </w:p>
    <w:p w:rsidR="001629FC" w:rsidRDefault="001629FC" w:rsidP="001629FC">
      <w:r>
        <w:t xml:space="preserve">Figura 6 e 7: Casal dançando no Clube Sandália de Prata, Iguape, SP à </w:t>
      </w:r>
      <w:proofErr w:type="gramStart"/>
      <w:r>
        <w:t>esquerda</w:t>
      </w:r>
      <w:r>
        <w:rPr>
          <w:vertAlign w:val="superscript"/>
        </w:rPr>
        <w:t>[</w:t>
      </w:r>
      <w:proofErr w:type="gramEnd"/>
      <w:r>
        <w:rPr>
          <w:vertAlign w:val="superscript"/>
        </w:rPr>
        <w:t>6]</w:t>
      </w:r>
      <w:r>
        <w:t xml:space="preserve"> e instrumento utilizado para fabricação das canoas (enxó), à direita</w:t>
      </w:r>
      <w:r>
        <w:rPr>
          <w:vertAlign w:val="superscript"/>
        </w:rPr>
        <w:t>[7]</w:t>
      </w:r>
      <w:r>
        <w:t>.</w:t>
      </w:r>
    </w:p>
    <w:p w:rsidR="001629FC" w:rsidRDefault="001629FC" w:rsidP="001629FC">
      <w:pPr>
        <w:jc w:val="both"/>
      </w:pPr>
      <w:r>
        <w:rPr>
          <w:sz w:val="24"/>
          <w:szCs w:val="24"/>
        </w:rPr>
        <w:t xml:space="preserve"> </w:t>
      </w:r>
    </w:p>
    <w:p w:rsidR="001629FC" w:rsidRDefault="001629FC" w:rsidP="001629FC">
      <w:pPr>
        <w:jc w:val="both"/>
      </w:pPr>
      <w:r>
        <w:rPr>
          <w:sz w:val="24"/>
          <w:szCs w:val="24"/>
        </w:rPr>
        <w:t>POPULAÇÕES INDÍGENAS E TRADICIONAIS</w:t>
      </w:r>
    </w:p>
    <w:p w:rsidR="001629FC" w:rsidRDefault="001629FC" w:rsidP="001629FC">
      <w:pPr>
        <w:jc w:val="both"/>
      </w:pPr>
      <w:r>
        <w:rPr>
          <w:sz w:val="24"/>
          <w:szCs w:val="24"/>
        </w:rPr>
        <w:t xml:space="preserve">        </w:t>
      </w:r>
      <w:r>
        <w:rPr>
          <w:sz w:val="24"/>
          <w:szCs w:val="24"/>
        </w:rPr>
        <w:tab/>
        <w:t>Na</w:t>
      </w:r>
      <w:r w:rsidR="000E3314">
        <w:rPr>
          <w:sz w:val="24"/>
          <w:szCs w:val="24"/>
        </w:rPr>
        <w:t xml:space="preserve"> </w:t>
      </w:r>
      <w:r>
        <w:rPr>
          <w:sz w:val="24"/>
          <w:szCs w:val="24"/>
        </w:rPr>
        <w:t xml:space="preserve">Mata Atlântica de Guaraqueçaba, os índios vivem e preservam os costumes que os caracterizam e que mantêm viva a tradição de suas terras. Desde épocas mais remotas, os índios presentes na região já utilizavam diversos produtos que a terra concedia como, por exemplo, os pomares, plantios, o uso da pesca na obtenção dos mariscos, peixes e ostras. E por vários anos coletando moluscos e bivalves para a alimentação, em diversos pontos específicos da região, ainda se conservam sítios arqueológicos repletos de sambaquis. Sambaquis são sítios arqueológicos, inseridos em paisagem Holocênica onde populações indígenas </w:t>
      </w:r>
      <w:r>
        <w:rPr>
          <w:sz w:val="24"/>
          <w:szCs w:val="24"/>
        </w:rPr>
        <w:lastRenderedPageBreak/>
        <w:t xml:space="preserve">habitaram, temporária ou permanentemente, para exploração dos recursos litorâneos, criando acúmulos artificiais de restos de alimentação </w:t>
      </w:r>
      <w:r w:rsidRPr="00A6203E">
        <w:rPr>
          <w:sz w:val="24"/>
          <w:szCs w:val="24"/>
        </w:rPr>
        <w:t>(</w:t>
      </w:r>
      <w:proofErr w:type="gramStart"/>
      <w:r w:rsidR="00A6203E">
        <w:rPr>
          <w:sz w:val="24"/>
          <w:szCs w:val="24"/>
        </w:rPr>
        <w:t>GERNET,</w:t>
      </w:r>
      <w:proofErr w:type="gramEnd"/>
      <w:r w:rsidR="00A6203E">
        <w:rPr>
          <w:sz w:val="24"/>
          <w:szCs w:val="24"/>
        </w:rPr>
        <w:t>2012</w:t>
      </w:r>
      <w:r w:rsidRPr="00A6203E">
        <w:rPr>
          <w:sz w:val="24"/>
          <w:szCs w:val="24"/>
        </w:rPr>
        <w:t>).</w:t>
      </w:r>
    </w:p>
    <w:p w:rsidR="001629FC" w:rsidRDefault="001629FC" w:rsidP="001629FC">
      <w:pPr>
        <w:ind w:firstLine="720"/>
        <w:jc w:val="both"/>
      </w:pPr>
      <w:r>
        <w:rPr>
          <w:sz w:val="24"/>
          <w:szCs w:val="24"/>
        </w:rPr>
        <w:t xml:space="preserve">Geralmente a cultura, as lendas e a religião são </w:t>
      </w:r>
      <w:proofErr w:type="gramStart"/>
      <w:r>
        <w:rPr>
          <w:sz w:val="24"/>
          <w:szCs w:val="24"/>
        </w:rPr>
        <w:t>transformados</w:t>
      </w:r>
      <w:proofErr w:type="gramEnd"/>
      <w:r>
        <w:rPr>
          <w:sz w:val="24"/>
          <w:szCs w:val="24"/>
        </w:rPr>
        <w:t xml:space="preserve"> em cânticos para os Guaranis. Eles falam da paz, da travessia da Terra Sem Males, dos animais e das crianças. Assim como o intérprete </w:t>
      </w:r>
      <w:proofErr w:type="spellStart"/>
      <w:r>
        <w:rPr>
          <w:sz w:val="24"/>
          <w:szCs w:val="24"/>
        </w:rPr>
        <w:t>Nande</w:t>
      </w:r>
      <w:proofErr w:type="spellEnd"/>
      <w:r>
        <w:rPr>
          <w:sz w:val="24"/>
          <w:szCs w:val="24"/>
        </w:rPr>
        <w:t xml:space="preserve"> </w:t>
      </w:r>
      <w:proofErr w:type="spellStart"/>
      <w:r>
        <w:rPr>
          <w:sz w:val="24"/>
          <w:szCs w:val="24"/>
        </w:rPr>
        <w:t>Reko</w:t>
      </w:r>
      <w:proofErr w:type="spellEnd"/>
      <w:r>
        <w:rPr>
          <w:sz w:val="24"/>
          <w:szCs w:val="24"/>
        </w:rPr>
        <w:t xml:space="preserve"> </w:t>
      </w:r>
      <w:proofErr w:type="spellStart"/>
      <w:r>
        <w:rPr>
          <w:sz w:val="24"/>
          <w:szCs w:val="24"/>
        </w:rPr>
        <w:t>Arandu</w:t>
      </w:r>
      <w:proofErr w:type="spellEnd"/>
      <w:r>
        <w:rPr>
          <w:sz w:val="24"/>
          <w:szCs w:val="24"/>
        </w:rPr>
        <w:t xml:space="preserve"> descreve no trecho abaixo:</w:t>
      </w:r>
    </w:p>
    <w:p w:rsidR="001629FC" w:rsidRDefault="001629FC" w:rsidP="001629FC">
      <w:pPr>
        <w:ind w:left="1440"/>
        <w:jc w:val="both"/>
      </w:pPr>
      <w:r>
        <w:rPr>
          <w:sz w:val="24"/>
          <w:szCs w:val="24"/>
        </w:rPr>
        <w:t xml:space="preserve">“Tudo tem significado para o guarani. Por exemplo, o cântico da criança. Amanhecendo o dia, todas as crianças cantavam estes cânticos tradicionais [...]. Os mais velhos ensinavam as crianças a cantar e </w:t>
      </w:r>
      <w:proofErr w:type="gramStart"/>
      <w:r>
        <w:rPr>
          <w:sz w:val="24"/>
          <w:szCs w:val="24"/>
        </w:rPr>
        <w:t>explicavam</w:t>
      </w:r>
      <w:proofErr w:type="gramEnd"/>
      <w:r>
        <w:rPr>
          <w:sz w:val="24"/>
          <w:szCs w:val="24"/>
        </w:rPr>
        <w:t xml:space="preserve"> qual é a importância, qual o significado daquele cântico [...].” </w:t>
      </w:r>
      <w:r>
        <w:rPr>
          <w:rFonts w:ascii="Calibri" w:eastAsia="Calibri" w:hAnsi="Calibri" w:cs="Calibri"/>
          <w:sz w:val="36"/>
          <w:szCs w:val="36"/>
          <w:vertAlign w:val="superscript"/>
        </w:rPr>
        <w:t>[8]</w:t>
      </w:r>
    </w:p>
    <w:p w:rsidR="001629FC" w:rsidRDefault="001629FC" w:rsidP="001629FC">
      <w:r>
        <w:t xml:space="preserve"> </w:t>
      </w:r>
    </w:p>
    <w:p w:rsidR="001629FC" w:rsidRDefault="001629FC" w:rsidP="001629FC">
      <w:pPr>
        <w:jc w:val="both"/>
      </w:pPr>
      <w:r>
        <w:rPr>
          <w:sz w:val="24"/>
          <w:szCs w:val="24"/>
        </w:rPr>
        <w:t xml:space="preserve">        </w:t>
      </w:r>
      <w:r>
        <w:rPr>
          <w:sz w:val="24"/>
          <w:szCs w:val="24"/>
        </w:rPr>
        <w:tab/>
        <w:t xml:space="preserve">O Censo Demográfico de 2010 contabilizou a população indígena com base nas pessoas que se declararam indígenas no quesito cor ou raça e para os residentes em Terras Indígenas que não se declararam, mas se consideraram indígenas. O Censo 2010 revelou que, das 896 mil pessoas que se declararam ou se consideravam indígenas, 572 mil ou 63,8 %, vivem na área rural e 517 mil, ou 57,5 %, moravam em Terras Indígenas oficialmente </w:t>
      </w:r>
      <w:proofErr w:type="gramStart"/>
      <w:r>
        <w:rPr>
          <w:sz w:val="24"/>
          <w:szCs w:val="24"/>
        </w:rPr>
        <w:t>reconhecidas.</w:t>
      </w:r>
      <w:proofErr w:type="gramEnd"/>
      <w:r>
        <w:rPr>
          <w:sz w:val="40"/>
          <w:szCs w:val="40"/>
          <w:vertAlign w:val="superscript"/>
        </w:rPr>
        <w:t>[9]</w:t>
      </w:r>
      <w:r>
        <w:rPr>
          <w:sz w:val="24"/>
          <w:szCs w:val="24"/>
        </w:rPr>
        <w:t xml:space="preserve"> Este número divide-se no Estado do Paraná entre três etnias indígenas: Guarani, </w:t>
      </w:r>
      <w:proofErr w:type="spellStart"/>
      <w:r>
        <w:rPr>
          <w:sz w:val="24"/>
          <w:szCs w:val="24"/>
        </w:rPr>
        <w:t>Kaingang</w:t>
      </w:r>
      <w:proofErr w:type="spellEnd"/>
      <w:r>
        <w:rPr>
          <w:sz w:val="24"/>
          <w:szCs w:val="24"/>
        </w:rPr>
        <w:t xml:space="preserve"> e Xetá.  Na região de Guaraqueçaba, a população indígena integra um número que varia entre 100 a 500 de pessoas que moram dentro e fora das Terras Indígenas.</w:t>
      </w:r>
    </w:p>
    <w:p w:rsidR="001629FC" w:rsidRDefault="001629FC" w:rsidP="001629FC">
      <w:pPr>
        <w:jc w:val="both"/>
      </w:pPr>
      <w:r>
        <w:rPr>
          <w:sz w:val="24"/>
          <w:szCs w:val="24"/>
        </w:rPr>
        <w:t xml:space="preserve">        </w:t>
      </w:r>
      <w:r>
        <w:rPr>
          <w:sz w:val="24"/>
          <w:szCs w:val="24"/>
        </w:rPr>
        <w:tab/>
        <w:t>As aldeias indígenas presentes na região estão ou</w:t>
      </w:r>
      <w:proofErr w:type="gramStart"/>
      <w:r>
        <w:rPr>
          <w:sz w:val="24"/>
          <w:szCs w:val="24"/>
        </w:rPr>
        <w:t xml:space="preserve">  </w:t>
      </w:r>
      <w:proofErr w:type="gramEnd"/>
      <w:r>
        <w:rPr>
          <w:sz w:val="24"/>
          <w:szCs w:val="24"/>
        </w:rPr>
        <w:t>demarcadas e registradas pela Funai (Fundação Nacional do Índio) de acordo com alguns critérios estabelecidos pelo Decreto da Presidência da República ou sob legitimação. As fases do procedimento demarcatório das terras tradicionalmente ocupadas são descritas em três diferentes processos: em estudo, delimitadas e regularizadas. É possível verificar uma terra indígena, de origem Guarani ocupada tradicionalmente na APA de Guaraqueçaba, que se encontra atualmente delimitada. Esta área é dividida como sendo duas aldeias do Cerco Grande, elas são Ipanema e Cerquinho.</w:t>
      </w:r>
    </w:p>
    <w:p w:rsidR="001629FC" w:rsidRDefault="001629FC" w:rsidP="001629FC">
      <w:pPr>
        <w:jc w:val="both"/>
      </w:pPr>
    </w:p>
    <w:p w:rsidR="001629FC" w:rsidRDefault="001629FC" w:rsidP="001629FC">
      <w:pPr>
        <w:ind w:firstLine="720"/>
      </w:pPr>
      <w:r>
        <w:lastRenderedPageBreak/>
        <w:t xml:space="preserve"> </w:t>
      </w:r>
      <w:r>
        <w:rPr>
          <w:noProof/>
        </w:rPr>
        <w:drawing>
          <wp:inline distT="114300" distB="114300" distL="114300" distR="114300" wp14:anchorId="495DD739" wp14:editId="30167FC6">
            <wp:extent cx="3705225" cy="2486025"/>
            <wp:effectExtent l="0" t="0" r="0" b="0"/>
            <wp:docPr id="2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8"/>
                    <a:srcRect/>
                    <a:stretch>
                      <a:fillRect/>
                    </a:stretch>
                  </pic:blipFill>
                  <pic:spPr>
                    <a:xfrm>
                      <a:off x="0" y="0"/>
                      <a:ext cx="3705225" cy="2486025"/>
                    </a:xfrm>
                    <a:prstGeom prst="rect">
                      <a:avLst/>
                    </a:prstGeom>
                    <a:ln/>
                  </pic:spPr>
                </pic:pic>
              </a:graphicData>
            </a:graphic>
          </wp:inline>
        </w:drawing>
      </w:r>
    </w:p>
    <w:p w:rsidR="001629FC" w:rsidRDefault="001629FC" w:rsidP="001629FC">
      <w:pPr>
        <w:ind w:firstLine="720"/>
      </w:pPr>
      <w:r>
        <w:t>Figura 7: Foto do livro “A Arte Guarani-</w:t>
      </w:r>
      <w:proofErr w:type="spellStart"/>
      <w:r>
        <w:t>Mbya</w:t>
      </w:r>
      <w:proofErr w:type="spellEnd"/>
      <w:r>
        <w:t xml:space="preserve"> de Guaraqueçaba, Aldeia </w:t>
      </w:r>
      <w:proofErr w:type="spellStart"/>
      <w:r>
        <w:t>Kuaray</w:t>
      </w:r>
      <w:proofErr w:type="spellEnd"/>
      <w:r>
        <w:t xml:space="preserve"> </w:t>
      </w:r>
      <w:proofErr w:type="spellStart"/>
      <w:r>
        <w:t>Guata</w:t>
      </w:r>
      <w:proofErr w:type="spellEnd"/>
      <w:r>
        <w:t xml:space="preserve"> Porá” </w:t>
      </w:r>
      <w:r>
        <w:rPr>
          <w:vertAlign w:val="superscript"/>
        </w:rPr>
        <w:t>[10</w:t>
      </w:r>
      <w:proofErr w:type="gramStart"/>
      <w:r>
        <w:rPr>
          <w:vertAlign w:val="superscript"/>
        </w:rPr>
        <w:t>]</w:t>
      </w:r>
      <w:proofErr w:type="gramEnd"/>
    </w:p>
    <w:p w:rsidR="001629FC" w:rsidRDefault="001629FC" w:rsidP="001629FC">
      <w:pPr>
        <w:ind w:firstLine="720"/>
      </w:pPr>
      <w:r>
        <w:rPr>
          <w:sz w:val="24"/>
          <w:szCs w:val="24"/>
        </w:rPr>
        <w:t xml:space="preserve"> </w:t>
      </w:r>
    </w:p>
    <w:p w:rsidR="001629FC" w:rsidRDefault="001629FC" w:rsidP="001629FC">
      <w:pPr>
        <w:ind w:firstLine="720"/>
      </w:pPr>
      <w:r>
        <w:rPr>
          <w:noProof/>
        </w:rPr>
        <w:drawing>
          <wp:inline distT="114300" distB="114300" distL="114300" distR="114300" wp14:anchorId="5B664A1A" wp14:editId="7E35A254">
            <wp:extent cx="3267075" cy="2381250"/>
            <wp:effectExtent l="0" t="0" r="0" b="0"/>
            <wp:docPr id="2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9"/>
                    <a:srcRect/>
                    <a:stretch>
                      <a:fillRect/>
                    </a:stretch>
                  </pic:blipFill>
                  <pic:spPr>
                    <a:xfrm>
                      <a:off x="0" y="0"/>
                      <a:ext cx="3267075" cy="2381250"/>
                    </a:xfrm>
                    <a:prstGeom prst="rect">
                      <a:avLst/>
                    </a:prstGeom>
                    <a:ln/>
                  </pic:spPr>
                </pic:pic>
              </a:graphicData>
            </a:graphic>
          </wp:inline>
        </w:drawing>
      </w:r>
      <w:r>
        <w:rPr>
          <w:sz w:val="24"/>
          <w:szCs w:val="24"/>
        </w:rPr>
        <w:t xml:space="preserve"> </w:t>
      </w:r>
    </w:p>
    <w:p w:rsidR="001629FC" w:rsidRDefault="001629FC" w:rsidP="001629FC">
      <w:r>
        <w:t>Figura 8: Sambaqui e ossos na caverna do Morro da Pedra Branca.</w:t>
      </w:r>
    </w:p>
    <w:p w:rsidR="001629FC" w:rsidRDefault="001629FC" w:rsidP="001629FC">
      <w:pPr>
        <w:jc w:val="both"/>
      </w:pPr>
      <w:r>
        <w:t xml:space="preserve"> </w:t>
      </w:r>
    </w:p>
    <w:p w:rsidR="001629FC" w:rsidRDefault="001629FC" w:rsidP="001629FC">
      <w:pPr>
        <w:jc w:val="both"/>
      </w:pPr>
      <w:r>
        <w:rPr>
          <w:sz w:val="24"/>
          <w:szCs w:val="24"/>
        </w:rPr>
        <w:t xml:space="preserve">Também localizada dentro da área de estudo (ao norte), existem duas comunidades quilombolas certificadas com certidões expedidas pela Fundação Cultural Palmares, sendo elas denominadas </w:t>
      </w:r>
      <w:proofErr w:type="spellStart"/>
      <w:r>
        <w:rPr>
          <w:sz w:val="24"/>
          <w:szCs w:val="24"/>
        </w:rPr>
        <w:t>Batuva</w:t>
      </w:r>
      <w:proofErr w:type="spellEnd"/>
      <w:r>
        <w:rPr>
          <w:sz w:val="24"/>
          <w:szCs w:val="24"/>
        </w:rPr>
        <w:t xml:space="preserve"> e Rio Verde. Os autointitulados </w:t>
      </w:r>
      <w:r>
        <w:rPr>
          <w:sz w:val="24"/>
          <w:szCs w:val="24"/>
          <w:highlight w:val="white"/>
        </w:rPr>
        <w:t>quilombolas são descendentes de africanos escravizados que mantêm tradições culturais, de subsistência e religiosas ao longo dos séculos. Pelos registros da fundação Palmares, não consta nenhuma comunidade com processos abertos, tanto para análise técnica, aguardando complementação de documentação, ou aguardando visita técnica (dados atualizados até 20 de maio de 2016).</w:t>
      </w:r>
      <w:r>
        <w:rPr>
          <w:sz w:val="24"/>
          <w:szCs w:val="24"/>
        </w:rPr>
        <w:t xml:space="preserve"> </w:t>
      </w:r>
    </w:p>
    <w:p w:rsidR="001629FC" w:rsidRDefault="001629FC" w:rsidP="001629FC">
      <w:pPr>
        <w:ind w:firstLine="720"/>
      </w:pPr>
      <w:r>
        <w:rPr>
          <w:noProof/>
        </w:rPr>
        <w:lastRenderedPageBreak/>
        <w:drawing>
          <wp:inline distT="114300" distB="114300" distL="114300" distR="114300" wp14:anchorId="35A98A47" wp14:editId="442A9A89">
            <wp:extent cx="5400675" cy="2466975"/>
            <wp:effectExtent l="0" t="0" r="0" b="0"/>
            <wp:docPr id="2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0"/>
                    <a:srcRect/>
                    <a:stretch>
                      <a:fillRect/>
                    </a:stretch>
                  </pic:blipFill>
                  <pic:spPr>
                    <a:xfrm>
                      <a:off x="0" y="0"/>
                      <a:ext cx="5400675" cy="2466975"/>
                    </a:xfrm>
                    <a:prstGeom prst="rect">
                      <a:avLst/>
                    </a:prstGeom>
                    <a:ln/>
                  </pic:spPr>
                </pic:pic>
              </a:graphicData>
            </a:graphic>
          </wp:inline>
        </w:drawing>
      </w:r>
      <w:r>
        <w:t xml:space="preserve"> </w:t>
      </w:r>
    </w:p>
    <w:p w:rsidR="001629FC" w:rsidRDefault="001629FC" w:rsidP="001629FC">
      <w:pPr>
        <w:ind w:firstLine="720"/>
      </w:pPr>
      <w:r>
        <w:rPr>
          <w:highlight w:val="white"/>
        </w:rPr>
        <w:t>Figura 9: Carros-de-boi guiados eram usados com cargas agrícolas e com minérios ou como transporte de pessoas no período colonial.</w:t>
      </w:r>
    </w:p>
    <w:p w:rsidR="001629FC" w:rsidRDefault="001629FC" w:rsidP="001629FC">
      <w:pPr>
        <w:ind w:firstLine="720"/>
        <w:jc w:val="both"/>
      </w:pPr>
      <w:r>
        <w:t xml:space="preserve"> </w:t>
      </w:r>
    </w:p>
    <w:p w:rsidR="001629FC" w:rsidRDefault="001629FC" w:rsidP="001629FC">
      <w:pPr>
        <w:jc w:val="both"/>
      </w:pPr>
      <w:r>
        <w:rPr>
          <w:sz w:val="24"/>
          <w:szCs w:val="24"/>
        </w:rPr>
        <w:t xml:space="preserve">        </w:t>
      </w:r>
      <w:r>
        <w:rPr>
          <w:sz w:val="24"/>
          <w:szCs w:val="24"/>
        </w:rPr>
        <w:tab/>
        <w:t xml:space="preserve">Alguns costumes ainda perduram entre os povos quilombolas da região como: a permanência parental próxima de residências familiares, o trabalho em conjunto em prol da comunidade como um organismo total, repasse cultural entre gerações através de contos e histórias e lendas, obtenção do alimento de subsistência através do próprio cultivo e plantio (no qual atualmente é afetado com a proibição pelas leis ambientais, o uso da terra dentro de uma UC), entre outros.  Além disso, hoje em dia a influência de outras religiões e manifestações culturais que não são tradicionais dos quilombos, </w:t>
      </w:r>
      <w:proofErr w:type="gramStart"/>
      <w:r>
        <w:rPr>
          <w:sz w:val="24"/>
          <w:szCs w:val="24"/>
        </w:rPr>
        <w:t>estão</w:t>
      </w:r>
      <w:proofErr w:type="gramEnd"/>
      <w:r>
        <w:rPr>
          <w:sz w:val="24"/>
          <w:szCs w:val="24"/>
        </w:rPr>
        <w:t xml:space="preserve"> se instaurando nas tribos, como as igrejas evangélicas e as congregações, como demonstram moradores da própria comunidade.</w:t>
      </w:r>
    </w:p>
    <w:p w:rsidR="001629FC" w:rsidRDefault="001629FC" w:rsidP="001629FC">
      <w:pPr>
        <w:jc w:val="both"/>
      </w:pPr>
    </w:p>
    <w:p w:rsidR="001629FC" w:rsidRDefault="001629FC" w:rsidP="001629FC">
      <w:pPr>
        <w:jc w:val="both"/>
      </w:pPr>
    </w:p>
    <w:p w:rsidR="001629FC" w:rsidRDefault="001629FC" w:rsidP="001629FC">
      <w:pPr>
        <w:jc w:val="both"/>
      </w:pPr>
    </w:p>
    <w:p w:rsidR="001629FC" w:rsidRPr="001629FC" w:rsidRDefault="001629FC" w:rsidP="001629FC">
      <w:pPr>
        <w:pStyle w:val="Ttulo1CerroAzul"/>
        <w:tabs>
          <w:tab w:val="clear" w:pos="6528"/>
        </w:tabs>
        <w:ind w:left="0" w:firstLine="0"/>
        <w:jc w:val="left"/>
      </w:pPr>
      <w:r>
        <w:t>COMUNIDADES</w:t>
      </w:r>
    </w:p>
    <w:p w:rsidR="001629FC" w:rsidRDefault="001629FC" w:rsidP="001629FC">
      <w:pPr>
        <w:jc w:val="both"/>
      </w:pPr>
    </w:p>
    <w:p w:rsidR="001629FC" w:rsidRDefault="001629FC" w:rsidP="001629FC">
      <w:pPr>
        <w:jc w:val="both"/>
      </w:pPr>
      <w:r>
        <w:rPr>
          <w:sz w:val="24"/>
          <w:szCs w:val="24"/>
        </w:rPr>
        <w:t xml:space="preserve">A partir do levantamento de dados secundários se constatou a existência de 74 comunidades na AE, </w:t>
      </w:r>
      <w:proofErr w:type="gramStart"/>
      <w:r>
        <w:rPr>
          <w:sz w:val="24"/>
          <w:szCs w:val="24"/>
        </w:rPr>
        <w:t>tratam-se</w:t>
      </w:r>
      <w:proofErr w:type="gramEnd"/>
      <w:r>
        <w:rPr>
          <w:sz w:val="24"/>
          <w:szCs w:val="24"/>
        </w:rPr>
        <w:t xml:space="preserve"> de comunidades rurais e de povos tradicionais como indígenas, pescadoras e pescadores artesanais, caiçaras e quilombolas.  Observa-se, baseado nesse levantamento, a heterogeneidade e a dinamicidade desses sujeitos, e assim, a necessidade e importância de conhecer, mesmo que </w:t>
      </w:r>
      <w:r>
        <w:rPr>
          <w:sz w:val="24"/>
          <w:szCs w:val="24"/>
        </w:rPr>
        <w:lastRenderedPageBreak/>
        <w:t xml:space="preserve">superficialmente, cada uma dessas comunidades. Para tanto, foram elaboradas </w:t>
      </w:r>
      <w:r>
        <w:rPr>
          <w:b/>
          <w:sz w:val="24"/>
          <w:szCs w:val="24"/>
        </w:rPr>
        <w:t>tabelas</w:t>
      </w:r>
      <w:r>
        <w:rPr>
          <w:sz w:val="24"/>
          <w:szCs w:val="24"/>
        </w:rPr>
        <w:t xml:space="preserve"> com informações básicas sobre as comunidades inseridas na área de estudo.</w:t>
      </w:r>
    </w:p>
    <w:p w:rsidR="001629FC" w:rsidRDefault="001629FC" w:rsidP="001629FC">
      <w:pPr>
        <w:jc w:val="both"/>
      </w:pPr>
    </w:p>
    <w:p w:rsidR="001629FC" w:rsidRDefault="001629FC" w:rsidP="001629FC">
      <w:pPr>
        <w:jc w:val="both"/>
      </w:pPr>
      <w:r>
        <w:rPr>
          <w:sz w:val="24"/>
          <w:szCs w:val="24"/>
        </w:rPr>
        <w:t xml:space="preserve">Apoiado nas idas a campo, pesquisas e artigos científicos, verifica-se a relevância para a AE manter essas comunidades e populações tradicionais nesse território, visto que apresentam um dos modos de vida humana capaz de coexistir dentro de certo equilíbrio com </w:t>
      </w:r>
      <w:r w:rsidR="00072D3C">
        <w:rPr>
          <w:sz w:val="24"/>
          <w:szCs w:val="24"/>
        </w:rPr>
        <w:t>o meio</w:t>
      </w:r>
      <w:r>
        <w:rPr>
          <w:sz w:val="24"/>
          <w:szCs w:val="24"/>
        </w:rPr>
        <w:t xml:space="preserve">, pois têm a relação de dependência com a natureza, convertendo-se em agentes importantes para a proteção de áreas naturais. Uma das características desse modo de vida é o manejo dos recursos naturais desenvolvidos por essas populações, esse manejo sustentável ocorre, principalmente, por conta da acumulação dos conhecimentos transmitidos entre gerações ao longo do tempo sobre o território, fato que contribui para o fortalecimento da biodiversidade (PEREIRA e DIEGUES, 2010). </w:t>
      </w:r>
    </w:p>
    <w:p w:rsidR="001629FC" w:rsidRDefault="001629FC" w:rsidP="001629FC">
      <w:pPr>
        <w:jc w:val="both"/>
      </w:pPr>
    </w:p>
    <w:p w:rsidR="001629FC" w:rsidRDefault="001629FC" w:rsidP="001629FC">
      <w:pPr>
        <w:jc w:val="both"/>
      </w:pPr>
      <w:r>
        <w:rPr>
          <w:sz w:val="24"/>
          <w:szCs w:val="24"/>
        </w:rPr>
        <w:t>Para além de serem importantes agentes na conservação das UC, os povos e comunidades tradicionais contam com um aparato jurídico que as protege baseado na Constituição Federal de 1988 e na Convenção nº169 da OIT (Organização Internacional do Trabalho) de 2004, determinando que os governos protejam os povos e comunidades que possuem culturas e modos de vidas diferenciados. Isso implica na proteção dos territórios, suas organizações, sua cultura, economia, seus bens materiais e imateriais e o meio ambiente em que vivem. Em 2007, foi criada a Política Nacional de Desenvolvimento dos Povos e Comunidades Tradicionais, pelo Decreto 6.040, que os define como:</w:t>
      </w:r>
    </w:p>
    <w:p w:rsidR="001629FC" w:rsidRDefault="001629FC" w:rsidP="001629FC">
      <w:pPr>
        <w:jc w:val="both"/>
      </w:pPr>
    </w:p>
    <w:p w:rsidR="001629FC" w:rsidRDefault="001629FC" w:rsidP="001629FC">
      <w:pPr>
        <w:spacing w:line="392" w:lineRule="auto"/>
        <w:ind w:left="2160"/>
        <w:jc w:val="both"/>
      </w:pPr>
      <w:r>
        <w:t>“Grupos culturalmente diferenciados e que se reconhecem como tais, que possuem formas próprias de organização social, que ocupam e usam territórios e recursos naturais como condição para sua reprodução cultural, social, religiosa, ancestral e econômica, utilizando conhecimentos, inovações e práticas gerados e transmitidos pela tradição” (Decreto 6.040, art. 3º, § 1º).</w:t>
      </w:r>
    </w:p>
    <w:p w:rsidR="001629FC" w:rsidRDefault="001629FC" w:rsidP="001629FC">
      <w:pPr>
        <w:spacing w:line="392" w:lineRule="auto"/>
        <w:ind w:left="2160"/>
        <w:jc w:val="both"/>
      </w:pPr>
    </w:p>
    <w:p w:rsidR="001629FC" w:rsidRDefault="001629FC" w:rsidP="001629FC">
      <w:pPr>
        <w:jc w:val="both"/>
      </w:pPr>
      <w:r>
        <w:rPr>
          <w:sz w:val="24"/>
          <w:szCs w:val="24"/>
        </w:rPr>
        <w:t xml:space="preserve">Com a Convenção e a Política </w:t>
      </w:r>
      <w:proofErr w:type="gramStart"/>
      <w:r>
        <w:rPr>
          <w:sz w:val="24"/>
          <w:szCs w:val="24"/>
        </w:rPr>
        <w:t>Nacional citadas</w:t>
      </w:r>
      <w:proofErr w:type="gramEnd"/>
      <w:r>
        <w:rPr>
          <w:sz w:val="24"/>
          <w:szCs w:val="24"/>
        </w:rPr>
        <w:t xml:space="preserve"> essas comunidades têm o </w:t>
      </w:r>
      <w:r>
        <w:rPr>
          <w:sz w:val="24"/>
          <w:szCs w:val="24"/>
          <w:highlight w:val="white"/>
        </w:rPr>
        <w:t xml:space="preserve">direito à Consulta Prévia, Livre e Informada (CPLI), que é o direito desses povos de serem consultados a qualquer momento que puderem ser afetados por uma medida </w:t>
      </w:r>
      <w:r>
        <w:rPr>
          <w:sz w:val="24"/>
          <w:szCs w:val="24"/>
          <w:highlight w:val="white"/>
        </w:rPr>
        <w:lastRenderedPageBreak/>
        <w:t xml:space="preserve">administrativa ou legislativa. </w:t>
      </w:r>
      <w:r>
        <w:rPr>
          <w:sz w:val="24"/>
          <w:szCs w:val="24"/>
        </w:rPr>
        <w:t xml:space="preserve">Nesse contexto, por influenciarem e serem influenciados pelo meio onde </w:t>
      </w:r>
      <w:proofErr w:type="gramStart"/>
      <w:r>
        <w:rPr>
          <w:sz w:val="24"/>
          <w:szCs w:val="24"/>
        </w:rPr>
        <w:t>estão</w:t>
      </w:r>
      <w:proofErr w:type="gramEnd"/>
      <w:r>
        <w:rPr>
          <w:sz w:val="24"/>
          <w:szCs w:val="24"/>
        </w:rPr>
        <w:t xml:space="preserve"> inseridos, as comunidades são atores relevantes para o objetivo do diagnóstico e para a AE. </w:t>
      </w:r>
    </w:p>
    <w:p w:rsidR="001629FC" w:rsidRDefault="001629FC" w:rsidP="001629FC">
      <w:pPr>
        <w:jc w:val="both"/>
      </w:pPr>
    </w:p>
    <w:p w:rsidR="009C776E" w:rsidRPr="009C776E" w:rsidRDefault="009C776E" w:rsidP="009C776E">
      <w:pPr>
        <w:pStyle w:val="Ttulo1CerroAzul"/>
        <w:tabs>
          <w:tab w:val="clear" w:pos="6528"/>
        </w:tabs>
        <w:ind w:left="0" w:firstLine="0"/>
        <w:jc w:val="left"/>
      </w:pPr>
      <w:r w:rsidRPr="0089605C">
        <w:t>CONFLITOS SOCIOAMBIENTAIS</w:t>
      </w:r>
    </w:p>
    <w:p w:rsidR="009C776E" w:rsidRDefault="009C776E" w:rsidP="009C776E">
      <w:pPr>
        <w:shd w:val="clear" w:color="auto" w:fill="FFFFFF"/>
        <w:ind w:firstLine="709"/>
        <w:jc w:val="both"/>
        <w:rPr>
          <w:color w:val="000000"/>
          <w:sz w:val="24"/>
          <w:szCs w:val="24"/>
        </w:rPr>
      </w:pPr>
    </w:p>
    <w:p w:rsidR="009C776E" w:rsidRDefault="009C776E" w:rsidP="009C776E">
      <w:pPr>
        <w:shd w:val="clear" w:color="auto" w:fill="FFFFFF"/>
        <w:ind w:firstLine="708"/>
        <w:jc w:val="both"/>
        <w:rPr>
          <w:sz w:val="24"/>
          <w:szCs w:val="24"/>
        </w:rPr>
      </w:pPr>
      <w:r>
        <w:rPr>
          <w:sz w:val="24"/>
          <w:szCs w:val="24"/>
        </w:rPr>
        <w:t xml:space="preserve">Conforme explanado no capítulo anterior, a AE abrange 74 comunidades </w:t>
      </w:r>
      <w:r w:rsidRPr="00AC1339">
        <w:rPr>
          <w:sz w:val="24"/>
          <w:szCs w:val="24"/>
        </w:rPr>
        <w:t>rurais,</w:t>
      </w:r>
      <w:r>
        <w:rPr>
          <w:sz w:val="24"/>
          <w:szCs w:val="24"/>
        </w:rPr>
        <w:t xml:space="preserve"> dentre elas, quilombolas, caiçaras, pescadores artesanais, povos indígenas e agricultores familiares. Que compartilham o território com </w:t>
      </w:r>
      <w:proofErr w:type="spellStart"/>
      <w:r>
        <w:rPr>
          <w:sz w:val="24"/>
          <w:szCs w:val="24"/>
        </w:rPr>
        <w:t>UC’s</w:t>
      </w:r>
      <w:proofErr w:type="spellEnd"/>
      <w:r>
        <w:rPr>
          <w:sz w:val="24"/>
          <w:szCs w:val="24"/>
        </w:rPr>
        <w:t xml:space="preserve"> públicas e privadas, latifundiários e empreendimentos portuários. </w:t>
      </w:r>
    </w:p>
    <w:p w:rsidR="009C776E" w:rsidRDefault="009C776E" w:rsidP="009C776E">
      <w:pPr>
        <w:shd w:val="clear" w:color="auto" w:fill="FFFFFF"/>
        <w:ind w:firstLine="708"/>
        <w:jc w:val="both"/>
        <w:rPr>
          <w:sz w:val="24"/>
          <w:szCs w:val="24"/>
        </w:rPr>
      </w:pPr>
      <w:r>
        <w:rPr>
          <w:sz w:val="24"/>
          <w:szCs w:val="24"/>
        </w:rPr>
        <w:t>O território em que a AE</w:t>
      </w:r>
      <w:r w:rsidRPr="00A55FE3">
        <w:rPr>
          <w:sz w:val="24"/>
          <w:szCs w:val="24"/>
        </w:rPr>
        <w:t xml:space="preserve"> se situa é mais</w:t>
      </w:r>
      <w:r>
        <w:rPr>
          <w:sz w:val="24"/>
          <w:szCs w:val="24"/>
        </w:rPr>
        <w:t xml:space="preserve"> do que um espaço geográfico. É </w:t>
      </w:r>
      <w:r w:rsidRPr="00A55FE3">
        <w:rPr>
          <w:sz w:val="24"/>
          <w:szCs w:val="24"/>
        </w:rPr>
        <w:t>resultado da história dos grupos que nele vivem, trabalham e produzem o presente, sonhando projetos de futuro. Grupos de distintas classes sociais, ocupações, origens étnicas, crenças religios</w:t>
      </w:r>
      <w:r>
        <w:rPr>
          <w:sz w:val="24"/>
          <w:szCs w:val="24"/>
        </w:rPr>
        <w:t>as, que geram valores, comporta</w:t>
      </w:r>
      <w:r w:rsidRPr="00A55FE3">
        <w:rPr>
          <w:sz w:val="24"/>
          <w:szCs w:val="24"/>
        </w:rPr>
        <w:t>mentos e atitudes também diferenciados e que, no exercício de poder quanto ao acesso, uso e controle dos recursos ambientais, moldam a paisagem.</w:t>
      </w:r>
      <w:r>
        <w:rPr>
          <w:sz w:val="24"/>
          <w:szCs w:val="24"/>
        </w:rPr>
        <w:t xml:space="preserve"> (MMA, 2016).</w:t>
      </w:r>
    </w:p>
    <w:p w:rsidR="009C776E" w:rsidRDefault="009C776E" w:rsidP="009C776E">
      <w:pPr>
        <w:shd w:val="clear" w:color="auto" w:fill="FFFFFF"/>
        <w:ind w:firstLine="708"/>
        <w:jc w:val="both"/>
        <w:rPr>
          <w:sz w:val="24"/>
          <w:szCs w:val="24"/>
        </w:rPr>
      </w:pPr>
      <w:r w:rsidRPr="000056E9">
        <w:rPr>
          <w:sz w:val="24"/>
          <w:szCs w:val="24"/>
        </w:rPr>
        <w:t>Segundo Vargas (2014), “o</w:t>
      </w:r>
      <w:r>
        <w:rPr>
          <w:sz w:val="24"/>
          <w:szCs w:val="24"/>
        </w:rPr>
        <w:t xml:space="preserve"> </w:t>
      </w:r>
      <w:r w:rsidRPr="000056E9">
        <w:rPr>
          <w:sz w:val="24"/>
          <w:szCs w:val="24"/>
        </w:rPr>
        <w:t>território é, dessa forma, o resultado de um processo social de apropriação e transformação do espaço, que, já como território, se converte no sustento material das práticas sociais. (...) Quando as práticas sociais mudam, muda também o território. Isto indica que o territ</w:t>
      </w:r>
      <w:r>
        <w:rPr>
          <w:sz w:val="24"/>
          <w:szCs w:val="24"/>
        </w:rPr>
        <w:t>ório está em constante transfor</w:t>
      </w:r>
      <w:r w:rsidRPr="000056E9">
        <w:rPr>
          <w:sz w:val="24"/>
          <w:szCs w:val="24"/>
        </w:rPr>
        <w:t xml:space="preserve">mação e que a sociedade está num processo contínuo de </w:t>
      </w:r>
      <w:proofErr w:type="spellStart"/>
      <w:r w:rsidRPr="000056E9">
        <w:rPr>
          <w:sz w:val="24"/>
          <w:szCs w:val="24"/>
        </w:rPr>
        <w:t>territorialização</w:t>
      </w:r>
      <w:proofErr w:type="spellEnd"/>
      <w:r w:rsidRPr="000056E9">
        <w:rPr>
          <w:sz w:val="24"/>
          <w:szCs w:val="24"/>
        </w:rPr>
        <w:t>, isto é, de construção do território”.</w:t>
      </w:r>
    </w:p>
    <w:p w:rsidR="009C776E" w:rsidRDefault="009C776E" w:rsidP="009C776E">
      <w:pPr>
        <w:shd w:val="clear" w:color="auto" w:fill="FFFFFF"/>
        <w:ind w:firstLine="708"/>
        <w:jc w:val="both"/>
        <w:rPr>
          <w:sz w:val="24"/>
          <w:szCs w:val="24"/>
        </w:rPr>
      </w:pPr>
      <w:r>
        <w:rPr>
          <w:sz w:val="24"/>
          <w:szCs w:val="24"/>
        </w:rPr>
        <w:t>Apenas pelos interesses divergentes no uso do território que os grupos sociais da AE demandam, os conflitos socioambientais seriam inevitáveis, e ainda considerando o histórico de ocupação do território e as relações de poder que o constituem, tais conflitos se tornam evidentes.</w:t>
      </w:r>
    </w:p>
    <w:p w:rsidR="009C776E" w:rsidRDefault="009C776E" w:rsidP="009C776E">
      <w:pPr>
        <w:shd w:val="clear" w:color="auto" w:fill="FFFFFF"/>
        <w:ind w:firstLine="709"/>
        <w:jc w:val="both"/>
        <w:rPr>
          <w:color w:val="000000"/>
          <w:sz w:val="24"/>
          <w:szCs w:val="24"/>
        </w:rPr>
      </w:pPr>
      <w:r>
        <w:rPr>
          <w:sz w:val="24"/>
          <w:szCs w:val="24"/>
        </w:rPr>
        <w:t xml:space="preserve">Nesse contexto, é relevante destacar as </w:t>
      </w:r>
      <w:r>
        <w:rPr>
          <w:color w:val="000000"/>
          <w:sz w:val="24"/>
          <w:szCs w:val="24"/>
        </w:rPr>
        <w:t xml:space="preserve">duas proposições feitas por </w:t>
      </w:r>
      <w:proofErr w:type="spellStart"/>
      <w:r w:rsidRPr="00FD6556">
        <w:rPr>
          <w:color w:val="000000"/>
          <w:sz w:val="24"/>
          <w:szCs w:val="24"/>
        </w:rPr>
        <w:t>Acselrad</w:t>
      </w:r>
      <w:proofErr w:type="spellEnd"/>
      <w:r>
        <w:rPr>
          <w:color w:val="000000"/>
          <w:sz w:val="24"/>
          <w:szCs w:val="24"/>
        </w:rPr>
        <w:t xml:space="preserve"> (2004) na análise</w:t>
      </w:r>
      <w:r w:rsidRPr="00FD6556">
        <w:rPr>
          <w:color w:val="000000"/>
          <w:sz w:val="24"/>
          <w:szCs w:val="24"/>
        </w:rPr>
        <w:t xml:space="preserve"> </w:t>
      </w:r>
      <w:r>
        <w:rPr>
          <w:color w:val="000000"/>
          <w:sz w:val="24"/>
          <w:szCs w:val="24"/>
        </w:rPr>
        <w:t>d</w:t>
      </w:r>
      <w:r w:rsidRPr="00FD6556">
        <w:rPr>
          <w:color w:val="000000"/>
          <w:sz w:val="24"/>
          <w:szCs w:val="24"/>
        </w:rPr>
        <w:t xml:space="preserve">a relação entre conflito e ambiente. A primeira é de que os objetos constituintes do ambiente vão além da matéria e da energia, eles são também culturais e históricos. A segunda é a diferença entre problemas, impactos e conflitos ambientais. O impacto é a ação do homem sobre o meio ambiente, que pode resultar em uma alteração positiva ou negativa do ecossistema. O impacto </w:t>
      </w:r>
      <w:r w:rsidRPr="00FD6556">
        <w:rPr>
          <w:color w:val="000000"/>
          <w:sz w:val="24"/>
          <w:szCs w:val="24"/>
        </w:rPr>
        <w:lastRenderedPageBreak/>
        <w:t>negativo pode resultar em um problema, que pode gerar disputas e eclodir em um conflito.</w:t>
      </w:r>
    </w:p>
    <w:p w:rsidR="009C776E" w:rsidRPr="00B83B98" w:rsidRDefault="009C776E" w:rsidP="009C776E">
      <w:pPr>
        <w:shd w:val="clear" w:color="auto" w:fill="FFFFFF"/>
        <w:ind w:firstLine="709"/>
        <w:jc w:val="both"/>
        <w:rPr>
          <w:color w:val="000000"/>
          <w:sz w:val="24"/>
          <w:szCs w:val="24"/>
        </w:rPr>
      </w:pPr>
      <w:r>
        <w:rPr>
          <w:color w:val="000000"/>
          <w:sz w:val="24"/>
          <w:szCs w:val="24"/>
        </w:rPr>
        <w:t xml:space="preserve">O conflito entre a população local </w:t>
      </w:r>
      <w:r w:rsidRPr="007A5795">
        <w:rPr>
          <w:color w:val="000000"/>
          <w:sz w:val="24"/>
          <w:szCs w:val="24"/>
        </w:rPr>
        <w:t xml:space="preserve">e </w:t>
      </w:r>
      <w:r>
        <w:rPr>
          <w:color w:val="000000"/>
          <w:sz w:val="24"/>
          <w:szCs w:val="24"/>
        </w:rPr>
        <w:t xml:space="preserve">a </w:t>
      </w:r>
      <w:r w:rsidRPr="007A5795">
        <w:rPr>
          <w:color w:val="000000"/>
          <w:sz w:val="24"/>
          <w:szCs w:val="24"/>
        </w:rPr>
        <w:t>Usina Hidrelétrica Governador Parigot de Souza (UHGPS)</w:t>
      </w:r>
      <w:r>
        <w:rPr>
          <w:color w:val="000000"/>
          <w:sz w:val="24"/>
          <w:szCs w:val="24"/>
        </w:rPr>
        <w:t>, é um exemplo de impacto negativo que eclodiu em um conflito, como exposto na Tabela 1:</w:t>
      </w:r>
    </w:p>
    <w:p w:rsidR="009C776E" w:rsidRDefault="009C776E" w:rsidP="009C776E">
      <w:pPr>
        <w:pStyle w:val="TtuloLegenda"/>
      </w:pPr>
    </w:p>
    <w:p w:rsidR="009C776E" w:rsidRPr="00B751DE" w:rsidRDefault="009C776E" w:rsidP="009C776E">
      <w:pPr>
        <w:pStyle w:val="TtuloLegenda"/>
      </w:pPr>
      <w:r>
        <w:t>Tabela 1 – População Local</w:t>
      </w:r>
      <w:proofErr w:type="gramStart"/>
      <w:r>
        <w:t xml:space="preserve">  </w:t>
      </w:r>
      <w:proofErr w:type="gramEnd"/>
      <w:r>
        <w:t>e UHGPS</w:t>
      </w:r>
    </w:p>
    <w:tbl>
      <w:tblPr>
        <w:tblW w:w="0" w:type="auto"/>
        <w:jc w:val="center"/>
        <w:tblBorders>
          <w:top w:val="single" w:sz="12" w:space="0" w:color="auto"/>
          <w:bottom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504"/>
        <w:gridCol w:w="7707"/>
      </w:tblGrid>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bCs/>
                <w:color w:val="000000"/>
              </w:rPr>
            </w:pPr>
            <w:r w:rsidRPr="00DC3586">
              <w:rPr>
                <w:rFonts w:eastAsia="Calibri" w:cs="Calibri"/>
                <w:b/>
                <w:bCs/>
                <w:color w:val="000000"/>
              </w:rPr>
              <w:t>População atingida</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pStyle w:val="TtuloLegenda"/>
              <w:jc w:val="both"/>
              <w:rPr>
                <w:rFonts w:cs="Calibri"/>
                <w:bCs/>
              </w:rPr>
            </w:pPr>
            <w:r>
              <w:rPr>
                <w:rFonts w:cs="Calibri"/>
                <w:bCs/>
              </w:rPr>
              <w:t>Agricultores Familiares</w:t>
            </w:r>
          </w:p>
        </w:tc>
      </w:tr>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color w:val="000000"/>
              </w:rPr>
            </w:pPr>
            <w:r>
              <w:rPr>
                <w:rFonts w:eastAsia="Calibri" w:cs="Calibri"/>
                <w:b/>
                <w:color w:val="000000"/>
              </w:rPr>
              <w:t>Comuni</w:t>
            </w:r>
            <w:r w:rsidRPr="00DC3586">
              <w:rPr>
                <w:rFonts w:eastAsia="Calibri" w:cs="Calibri"/>
                <w:b/>
                <w:color w:val="000000"/>
              </w:rPr>
              <w:t>dade</w:t>
            </w:r>
            <w:r>
              <w:rPr>
                <w:rFonts w:eastAsia="Calibri" w:cs="Calibri"/>
                <w:b/>
                <w:color w:val="000000"/>
              </w:rPr>
              <w:t xml:space="preserve"> (s)</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jc w:val="both"/>
              <w:rPr>
                <w:rFonts w:eastAsia="Calibri" w:cs="Calibri"/>
                <w:color w:val="000000"/>
              </w:rPr>
            </w:pPr>
            <w:r>
              <w:rPr>
                <w:rFonts w:eastAsia="Calibri" w:cs="Calibri"/>
                <w:color w:val="000000"/>
              </w:rPr>
              <w:t>Cachoeira</w:t>
            </w:r>
          </w:p>
        </w:tc>
      </w:tr>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tcPr>
          <w:p w:rsidR="009C776E" w:rsidRPr="00DC3586" w:rsidRDefault="009C776E" w:rsidP="009C776E">
            <w:pPr>
              <w:spacing w:line="240" w:lineRule="auto"/>
              <w:rPr>
                <w:rFonts w:eastAsia="Calibri" w:cs="Calibri"/>
                <w:b/>
                <w:color w:val="000000"/>
              </w:rPr>
            </w:pPr>
            <w:r>
              <w:rPr>
                <w:rFonts w:eastAsia="Calibri" w:cs="Calibri"/>
                <w:b/>
                <w:color w:val="000000"/>
              </w:rPr>
              <w:t>Tensões</w:t>
            </w:r>
          </w:p>
        </w:tc>
        <w:tc>
          <w:tcPr>
            <w:tcW w:w="0" w:type="auto"/>
            <w:tcBorders>
              <w:top w:val="single" w:sz="4" w:space="0" w:color="auto"/>
              <w:bottom w:val="single" w:sz="4" w:space="0" w:color="auto"/>
            </w:tcBorders>
            <w:shd w:val="clear" w:color="auto" w:fill="auto"/>
            <w:vAlign w:val="center"/>
          </w:tcPr>
          <w:p w:rsidR="009C776E" w:rsidRPr="00880182" w:rsidRDefault="009C776E" w:rsidP="009C776E">
            <w:pPr>
              <w:spacing w:line="240" w:lineRule="auto"/>
              <w:jc w:val="both"/>
              <w:rPr>
                <w:rFonts w:eastAsia="Calibri" w:cs="Calibri"/>
                <w:color w:val="000000"/>
              </w:rPr>
            </w:pPr>
            <w:r>
              <w:rPr>
                <w:rFonts w:eastAsia="Calibri" w:cs="Calibri"/>
                <w:color w:val="000000"/>
              </w:rPr>
              <w:t xml:space="preserve">Enchentes e desmoronamentos em propriedades da comunidade em decorrência do processo de desassoreamento do rio </w:t>
            </w:r>
            <w:proofErr w:type="spellStart"/>
            <w:r>
              <w:rPr>
                <w:rFonts w:eastAsia="Calibri" w:cs="Calibri"/>
                <w:color w:val="000000"/>
              </w:rPr>
              <w:t>Cahoeira</w:t>
            </w:r>
            <w:proofErr w:type="spellEnd"/>
            <w:r>
              <w:rPr>
                <w:rFonts w:eastAsia="Calibri" w:cs="Calibri"/>
                <w:color w:val="000000"/>
              </w:rPr>
              <w:t>; diminuição de áreas pesqueiras.</w:t>
            </w:r>
          </w:p>
        </w:tc>
      </w:tr>
      <w:tr w:rsidR="009C776E" w:rsidRPr="00DC3586" w:rsidTr="009C776E">
        <w:trPr>
          <w:trHeight w:val="600"/>
          <w:jc w:val="center"/>
        </w:trPr>
        <w:tc>
          <w:tcPr>
            <w:tcW w:w="0" w:type="auto"/>
            <w:tcBorders>
              <w:top w:val="single" w:sz="4" w:space="0" w:color="auto"/>
              <w:bottom w:val="single" w:sz="4" w:space="0" w:color="auto"/>
            </w:tcBorders>
            <w:vAlign w:val="center"/>
            <w:hideMark/>
          </w:tcPr>
          <w:p w:rsidR="009C776E" w:rsidRPr="00DC3586" w:rsidRDefault="009C776E" w:rsidP="009C776E">
            <w:pPr>
              <w:spacing w:line="240" w:lineRule="auto"/>
              <w:rPr>
                <w:rFonts w:eastAsia="Calibri" w:cs="Calibri"/>
                <w:b/>
                <w:color w:val="000000"/>
              </w:rPr>
            </w:pPr>
            <w:r>
              <w:rPr>
                <w:rFonts w:eastAsia="Calibri" w:cs="Calibri"/>
                <w:b/>
                <w:color w:val="000000"/>
              </w:rPr>
              <w:t>Impact</w:t>
            </w:r>
            <w:r w:rsidRPr="00DC3586">
              <w:rPr>
                <w:rFonts w:eastAsia="Calibri" w:cs="Calibri"/>
                <w:b/>
                <w:color w:val="000000"/>
              </w:rPr>
              <w:t>os ambientais</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jc w:val="both"/>
              <w:rPr>
                <w:rFonts w:eastAsia="Calibri" w:cs="Calibri"/>
                <w:color w:val="000000"/>
              </w:rPr>
            </w:pPr>
            <w:r>
              <w:rPr>
                <w:rFonts w:eastAsia="Calibri" w:cs="Calibri"/>
                <w:color w:val="000000"/>
              </w:rPr>
              <w:t>Assoreamento do rio Cachoeira, diminuição da biodiversidade.</w:t>
            </w:r>
          </w:p>
        </w:tc>
      </w:tr>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color w:val="000000"/>
              </w:rPr>
            </w:pPr>
            <w:r w:rsidRPr="00DC3586">
              <w:rPr>
                <w:rFonts w:eastAsia="Calibri" w:cs="Calibri"/>
                <w:b/>
                <w:color w:val="000000"/>
              </w:rPr>
              <w:t>Síntese do conflito</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jc w:val="both"/>
              <w:rPr>
                <w:rFonts w:eastAsia="Calibri" w:cs="Calibri"/>
                <w:color w:val="000000"/>
              </w:rPr>
            </w:pPr>
            <w:r>
              <w:rPr>
                <w:rFonts w:eastAsia="Calibri" w:cs="Calibri"/>
                <w:color w:val="000000"/>
              </w:rPr>
              <w:t>No ano de 2013 o Ministério Público do Paraná (MPPR) instaurou um Processo Administrativo (PA), por representação da ADEMADAN, no escopo de acompanhar e monitorar o processo de renovação da Licença de Operação (LO) da UHGPS, com o objetivo de que sejam asseguradas as medidas compensatórias e que seja garantida a ampla participação da sociedade civil.</w:t>
            </w:r>
          </w:p>
        </w:tc>
      </w:tr>
      <w:tr w:rsidR="009C776E" w:rsidRPr="00DC3586" w:rsidTr="009C776E">
        <w:trPr>
          <w:trHeight w:val="3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color w:val="000000"/>
              </w:rPr>
            </w:pPr>
            <w:r w:rsidRPr="00DC3586">
              <w:rPr>
                <w:rFonts w:eastAsia="Calibri" w:cs="Calibri"/>
                <w:b/>
                <w:bCs/>
                <w:color w:val="000000"/>
              </w:rPr>
              <w:t>Referências</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jc w:val="both"/>
              <w:rPr>
                <w:rFonts w:eastAsia="Calibri" w:cs="Calibri"/>
                <w:color w:val="000000"/>
              </w:rPr>
            </w:pPr>
            <w:r>
              <w:rPr>
                <w:rFonts w:eastAsia="Calibri" w:cs="Calibri"/>
                <w:color w:val="000000"/>
              </w:rPr>
              <w:t xml:space="preserve"> PA MPPR 0006.13.000217-0</w:t>
            </w:r>
          </w:p>
        </w:tc>
      </w:tr>
    </w:tbl>
    <w:p w:rsidR="009C776E" w:rsidRPr="007A5795" w:rsidRDefault="009C776E" w:rsidP="009C776E">
      <w:pPr>
        <w:shd w:val="clear" w:color="auto" w:fill="FFFFFF"/>
        <w:jc w:val="both"/>
        <w:rPr>
          <w:color w:val="000000"/>
          <w:sz w:val="24"/>
          <w:szCs w:val="24"/>
        </w:rPr>
      </w:pPr>
    </w:p>
    <w:p w:rsidR="009C776E" w:rsidRDefault="009C776E" w:rsidP="009C776E">
      <w:pPr>
        <w:shd w:val="clear" w:color="auto" w:fill="FFFFFF"/>
        <w:ind w:firstLine="709"/>
        <w:jc w:val="both"/>
        <w:rPr>
          <w:color w:val="000000"/>
          <w:sz w:val="24"/>
          <w:szCs w:val="24"/>
        </w:rPr>
      </w:pPr>
    </w:p>
    <w:p w:rsidR="009C776E" w:rsidRDefault="009C776E" w:rsidP="009C776E">
      <w:pPr>
        <w:shd w:val="clear" w:color="auto" w:fill="FFFFFF"/>
        <w:ind w:firstLine="709"/>
        <w:jc w:val="both"/>
        <w:rPr>
          <w:color w:val="000000"/>
          <w:sz w:val="24"/>
          <w:szCs w:val="24"/>
        </w:rPr>
      </w:pPr>
      <w:r>
        <w:rPr>
          <w:color w:val="000000"/>
          <w:sz w:val="24"/>
          <w:szCs w:val="24"/>
        </w:rPr>
        <w:t>Assim como, o conflito socioambiental gerado pela construção da PR 405, que como impacto negativo reconfigurou o uso e a ocupação do território, e que atualmente se configura no conflito acerca de sua pavimentação, como elencado na Tabela 2:</w:t>
      </w:r>
    </w:p>
    <w:p w:rsidR="009C776E" w:rsidRDefault="009C776E" w:rsidP="009C776E">
      <w:pPr>
        <w:rPr>
          <w:sz w:val="24"/>
          <w:szCs w:val="24"/>
        </w:rPr>
      </w:pPr>
    </w:p>
    <w:p w:rsidR="009C776E" w:rsidRPr="00ED2AAD" w:rsidRDefault="009C776E" w:rsidP="009C776E">
      <w:pPr>
        <w:pStyle w:val="TtuloLegenda"/>
      </w:pPr>
      <w:r>
        <w:t>Tabela 2 – Pavimentação</w:t>
      </w:r>
      <w:proofErr w:type="gramStart"/>
      <w:r>
        <w:t xml:space="preserve">  </w:t>
      </w:r>
      <w:proofErr w:type="gramEnd"/>
      <w:r>
        <w:t xml:space="preserve">PR 405 </w:t>
      </w:r>
    </w:p>
    <w:tbl>
      <w:tblPr>
        <w:tblW w:w="0" w:type="auto"/>
        <w:jc w:val="center"/>
        <w:tblBorders>
          <w:top w:val="single" w:sz="12" w:space="0" w:color="auto"/>
          <w:bottom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418"/>
        <w:gridCol w:w="7250"/>
      </w:tblGrid>
      <w:tr w:rsidR="009C776E" w:rsidRPr="00DC3586" w:rsidTr="009C776E">
        <w:trPr>
          <w:trHeight w:val="600"/>
          <w:jc w:val="center"/>
        </w:trPr>
        <w:tc>
          <w:tcPr>
            <w:tcW w:w="1418" w:type="dxa"/>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bCs/>
                <w:color w:val="000000"/>
              </w:rPr>
            </w:pPr>
            <w:r w:rsidRPr="00DC3586">
              <w:rPr>
                <w:rFonts w:eastAsia="Calibri" w:cs="Calibri"/>
                <w:b/>
                <w:bCs/>
                <w:color w:val="000000"/>
              </w:rPr>
              <w:t>População atingida</w:t>
            </w:r>
          </w:p>
        </w:tc>
        <w:tc>
          <w:tcPr>
            <w:tcW w:w="7086" w:type="dxa"/>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jc w:val="both"/>
              <w:rPr>
                <w:rFonts w:eastAsia="Calibri" w:cs="Calibri"/>
                <w:bCs/>
                <w:color w:val="000000"/>
              </w:rPr>
            </w:pPr>
            <w:r w:rsidRPr="00DC3586">
              <w:rPr>
                <w:rFonts w:eastAsia="Calibri" w:cs="Calibri"/>
                <w:bCs/>
                <w:color w:val="000000"/>
              </w:rPr>
              <w:t>A</w:t>
            </w:r>
            <w:r>
              <w:rPr>
                <w:rFonts w:eastAsia="Calibri" w:cs="Calibri"/>
                <w:bCs/>
                <w:color w:val="000000"/>
              </w:rPr>
              <w:t xml:space="preserve">gricultores Familiares e </w:t>
            </w:r>
            <w:r w:rsidRPr="00E232BE">
              <w:rPr>
                <w:rFonts w:eastAsia="Calibri" w:cs="Calibri"/>
                <w:bCs/>
                <w:color w:val="000000"/>
              </w:rPr>
              <w:t>População Urbana</w:t>
            </w:r>
          </w:p>
        </w:tc>
      </w:tr>
      <w:tr w:rsidR="009C776E" w:rsidRPr="00DC3586" w:rsidTr="009C776E">
        <w:trPr>
          <w:trHeight w:val="600"/>
          <w:jc w:val="center"/>
        </w:trPr>
        <w:tc>
          <w:tcPr>
            <w:tcW w:w="1418" w:type="dxa"/>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color w:val="000000"/>
              </w:rPr>
            </w:pPr>
            <w:r>
              <w:rPr>
                <w:rFonts w:eastAsia="Calibri" w:cs="Calibri"/>
                <w:b/>
                <w:color w:val="000000"/>
              </w:rPr>
              <w:t>Comuni</w:t>
            </w:r>
            <w:r w:rsidRPr="00DC3586">
              <w:rPr>
                <w:rFonts w:eastAsia="Calibri" w:cs="Calibri"/>
                <w:b/>
                <w:color w:val="000000"/>
              </w:rPr>
              <w:t>dade</w:t>
            </w:r>
            <w:r>
              <w:rPr>
                <w:rFonts w:eastAsia="Calibri" w:cs="Calibri"/>
                <w:b/>
                <w:color w:val="000000"/>
              </w:rPr>
              <w:t xml:space="preserve"> (s)</w:t>
            </w:r>
          </w:p>
        </w:tc>
        <w:tc>
          <w:tcPr>
            <w:tcW w:w="7086" w:type="dxa"/>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jc w:val="both"/>
              <w:rPr>
                <w:rFonts w:eastAsia="Calibri" w:cs="Calibri"/>
                <w:color w:val="000000"/>
              </w:rPr>
            </w:pPr>
            <w:r w:rsidRPr="00880182">
              <w:rPr>
                <w:rFonts w:eastAsia="Calibri" w:cs="Calibri"/>
                <w:color w:val="000000"/>
              </w:rPr>
              <w:t xml:space="preserve">Sede, </w:t>
            </w:r>
            <w:proofErr w:type="spellStart"/>
            <w:r w:rsidRPr="00880182">
              <w:rPr>
                <w:rFonts w:eastAsia="Calibri" w:cs="Calibri"/>
                <w:color w:val="000000"/>
              </w:rPr>
              <w:t>Cacatu</w:t>
            </w:r>
            <w:proofErr w:type="spellEnd"/>
            <w:r w:rsidRPr="00880182">
              <w:rPr>
                <w:rFonts w:eastAsia="Calibri" w:cs="Calibri"/>
                <w:color w:val="000000"/>
              </w:rPr>
              <w:t xml:space="preserve">, </w:t>
            </w:r>
            <w:proofErr w:type="spellStart"/>
            <w:r w:rsidRPr="00880182">
              <w:rPr>
                <w:rFonts w:eastAsia="Calibri" w:cs="Calibri"/>
                <w:color w:val="000000"/>
              </w:rPr>
              <w:t>Tagaçaba</w:t>
            </w:r>
            <w:proofErr w:type="spellEnd"/>
            <w:r w:rsidRPr="00880182">
              <w:rPr>
                <w:rFonts w:eastAsia="Calibri" w:cs="Calibri"/>
                <w:color w:val="000000"/>
              </w:rPr>
              <w:t xml:space="preserve">, Serra Negra, </w:t>
            </w:r>
            <w:proofErr w:type="spellStart"/>
            <w:r w:rsidRPr="00880182">
              <w:rPr>
                <w:rFonts w:eastAsia="Calibri" w:cs="Calibri"/>
                <w:color w:val="000000"/>
              </w:rPr>
              <w:t>Açungui</w:t>
            </w:r>
            <w:proofErr w:type="spellEnd"/>
            <w:r w:rsidRPr="00880182">
              <w:rPr>
                <w:rFonts w:eastAsia="Calibri" w:cs="Calibri"/>
                <w:color w:val="000000"/>
              </w:rPr>
              <w:t xml:space="preserve">, </w:t>
            </w:r>
            <w:proofErr w:type="spellStart"/>
            <w:r w:rsidRPr="00880182">
              <w:rPr>
                <w:rFonts w:eastAsia="Calibri" w:cs="Calibri"/>
                <w:color w:val="000000"/>
              </w:rPr>
              <w:t>Potinga</w:t>
            </w:r>
            <w:proofErr w:type="spellEnd"/>
            <w:r w:rsidRPr="00880182">
              <w:rPr>
                <w:rFonts w:eastAsia="Calibri" w:cs="Calibri"/>
                <w:color w:val="000000"/>
              </w:rPr>
              <w:t>, Morato, Limoeiro e Vila Nova.</w:t>
            </w:r>
          </w:p>
        </w:tc>
      </w:tr>
      <w:tr w:rsidR="009C776E" w:rsidRPr="00DC3586" w:rsidTr="009C776E">
        <w:trPr>
          <w:trHeight w:val="600"/>
          <w:jc w:val="center"/>
        </w:trPr>
        <w:tc>
          <w:tcPr>
            <w:tcW w:w="1418" w:type="dxa"/>
            <w:tcBorders>
              <w:top w:val="single" w:sz="4" w:space="0" w:color="auto"/>
              <w:bottom w:val="single" w:sz="4" w:space="0" w:color="auto"/>
            </w:tcBorders>
            <w:shd w:val="clear" w:color="auto" w:fill="auto"/>
            <w:vAlign w:val="center"/>
          </w:tcPr>
          <w:p w:rsidR="009C776E" w:rsidRPr="00DC3586" w:rsidRDefault="009C776E" w:rsidP="009C776E">
            <w:pPr>
              <w:spacing w:line="240" w:lineRule="auto"/>
              <w:rPr>
                <w:rFonts w:eastAsia="Calibri" w:cs="Calibri"/>
                <w:b/>
                <w:color w:val="000000"/>
              </w:rPr>
            </w:pPr>
            <w:r>
              <w:rPr>
                <w:rFonts w:eastAsia="Calibri" w:cs="Calibri"/>
                <w:b/>
                <w:color w:val="000000"/>
              </w:rPr>
              <w:t>Tensões</w:t>
            </w:r>
          </w:p>
        </w:tc>
        <w:tc>
          <w:tcPr>
            <w:tcW w:w="7086" w:type="dxa"/>
            <w:tcBorders>
              <w:top w:val="single" w:sz="4" w:space="0" w:color="auto"/>
              <w:bottom w:val="single" w:sz="4" w:space="0" w:color="auto"/>
            </w:tcBorders>
            <w:shd w:val="clear" w:color="auto" w:fill="auto"/>
            <w:vAlign w:val="center"/>
          </w:tcPr>
          <w:p w:rsidR="009C776E" w:rsidRPr="00880182" w:rsidRDefault="009C776E" w:rsidP="009C776E">
            <w:pPr>
              <w:spacing w:line="240" w:lineRule="auto"/>
              <w:jc w:val="both"/>
              <w:rPr>
                <w:rFonts w:eastAsia="Calibri" w:cs="Calibri"/>
                <w:color w:val="000000"/>
              </w:rPr>
            </w:pPr>
            <w:r>
              <w:rPr>
                <w:rFonts w:eastAsia="Calibri" w:cs="Calibri"/>
                <w:color w:val="000000"/>
              </w:rPr>
              <w:t xml:space="preserve">Alteração no modo de vida local, reconfiguração do uso e da ocupação do espaço, mudança nas rotas de destino e meios de </w:t>
            </w:r>
            <w:proofErr w:type="gramStart"/>
            <w:r>
              <w:rPr>
                <w:rFonts w:eastAsia="Calibri" w:cs="Calibri"/>
                <w:color w:val="000000"/>
              </w:rPr>
              <w:t>transporte</w:t>
            </w:r>
            <w:proofErr w:type="gramEnd"/>
          </w:p>
        </w:tc>
      </w:tr>
      <w:tr w:rsidR="009C776E" w:rsidRPr="00DC3586" w:rsidTr="009C776E">
        <w:trPr>
          <w:trHeight w:val="600"/>
          <w:jc w:val="center"/>
        </w:trPr>
        <w:tc>
          <w:tcPr>
            <w:tcW w:w="1418" w:type="dxa"/>
            <w:tcBorders>
              <w:top w:val="single" w:sz="4" w:space="0" w:color="auto"/>
              <w:bottom w:val="single" w:sz="4" w:space="0" w:color="auto"/>
            </w:tcBorders>
            <w:vAlign w:val="center"/>
            <w:hideMark/>
          </w:tcPr>
          <w:p w:rsidR="009C776E" w:rsidRPr="00DC3586" w:rsidRDefault="009C776E" w:rsidP="009C776E">
            <w:pPr>
              <w:spacing w:line="240" w:lineRule="auto"/>
              <w:rPr>
                <w:rFonts w:eastAsia="Calibri" w:cs="Calibri"/>
                <w:b/>
                <w:color w:val="000000"/>
              </w:rPr>
            </w:pPr>
            <w:r>
              <w:rPr>
                <w:rFonts w:eastAsia="Calibri" w:cs="Calibri"/>
                <w:b/>
                <w:color w:val="000000"/>
              </w:rPr>
              <w:t>Impact</w:t>
            </w:r>
            <w:r w:rsidRPr="00DC3586">
              <w:rPr>
                <w:rFonts w:eastAsia="Calibri" w:cs="Calibri"/>
                <w:b/>
                <w:color w:val="000000"/>
              </w:rPr>
              <w:t>os ambientais</w:t>
            </w:r>
          </w:p>
        </w:tc>
        <w:tc>
          <w:tcPr>
            <w:tcW w:w="7086" w:type="dxa"/>
            <w:tcBorders>
              <w:top w:val="single" w:sz="4" w:space="0" w:color="auto"/>
              <w:bottom w:val="single" w:sz="4" w:space="0" w:color="auto"/>
            </w:tcBorders>
            <w:shd w:val="clear" w:color="auto" w:fill="auto"/>
            <w:vAlign w:val="center"/>
          </w:tcPr>
          <w:p w:rsidR="009C776E" w:rsidRPr="00DC3586" w:rsidRDefault="009C776E" w:rsidP="009C776E">
            <w:pPr>
              <w:jc w:val="both"/>
              <w:rPr>
                <w:rFonts w:eastAsia="Calibri" w:cs="Calibri"/>
                <w:color w:val="000000"/>
              </w:rPr>
            </w:pPr>
            <w:r w:rsidRPr="002801B9">
              <w:rPr>
                <w:rFonts w:eastAsia="Calibri" w:cs="Calibri"/>
                <w:color w:val="000000"/>
              </w:rPr>
              <w:t>Aumento da</w:t>
            </w:r>
            <w:r>
              <w:rPr>
                <w:rFonts w:eastAsia="Calibri" w:cs="Calibri"/>
                <w:color w:val="000000"/>
              </w:rPr>
              <w:t xml:space="preserve"> caça e da</w:t>
            </w:r>
            <w:r w:rsidRPr="002801B9">
              <w:rPr>
                <w:rFonts w:eastAsia="Calibri" w:cs="Calibri"/>
                <w:color w:val="000000"/>
              </w:rPr>
              <w:t xml:space="preserve"> ex</w:t>
            </w:r>
            <w:r>
              <w:rPr>
                <w:rFonts w:eastAsia="Calibri" w:cs="Calibri"/>
                <w:color w:val="000000"/>
              </w:rPr>
              <w:t>tração</w:t>
            </w:r>
            <w:r w:rsidRPr="002801B9">
              <w:rPr>
                <w:rFonts w:eastAsia="Calibri" w:cs="Calibri"/>
                <w:color w:val="000000"/>
              </w:rPr>
              <w:t xml:space="preserve"> seletiva de madeira</w:t>
            </w:r>
            <w:r>
              <w:rPr>
                <w:rFonts w:eastAsia="Calibri" w:cs="Calibri"/>
                <w:color w:val="000000"/>
              </w:rPr>
              <w:t xml:space="preserve"> e de palmito.</w:t>
            </w:r>
          </w:p>
        </w:tc>
      </w:tr>
      <w:tr w:rsidR="009C776E" w:rsidRPr="00DC3586" w:rsidTr="009C776E">
        <w:trPr>
          <w:trHeight w:val="4112"/>
          <w:jc w:val="center"/>
        </w:trPr>
        <w:tc>
          <w:tcPr>
            <w:tcW w:w="1418" w:type="dxa"/>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color w:val="000000"/>
              </w:rPr>
            </w:pPr>
            <w:r w:rsidRPr="00DC3586">
              <w:rPr>
                <w:rFonts w:eastAsia="Calibri" w:cs="Calibri"/>
                <w:b/>
                <w:color w:val="000000"/>
              </w:rPr>
              <w:lastRenderedPageBreak/>
              <w:t>Síntese do conflito</w:t>
            </w:r>
          </w:p>
        </w:tc>
        <w:tc>
          <w:tcPr>
            <w:tcW w:w="7086" w:type="dxa"/>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jc w:val="both"/>
              <w:rPr>
                <w:rFonts w:eastAsia="Calibri" w:cs="Calibri"/>
                <w:color w:val="000000"/>
              </w:rPr>
            </w:pPr>
            <w:r>
              <w:rPr>
                <w:rFonts w:eastAsia="Calibri" w:cs="Calibri"/>
                <w:color w:val="000000"/>
              </w:rPr>
              <w:t xml:space="preserve">Com a inauguração em 1979 da Rodovia PR 405, que faz </w:t>
            </w:r>
            <w:proofErr w:type="gramStart"/>
            <w:r>
              <w:rPr>
                <w:rFonts w:eastAsia="Calibri" w:cs="Calibri"/>
                <w:color w:val="000000"/>
              </w:rPr>
              <w:t>a ligação entre Antonina e Guaraqueçaba, muitas</w:t>
            </w:r>
            <w:proofErr w:type="gramEnd"/>
            <w:r>
              <w:rPr>
                <w:rFonts w:eastAsia="Calibri" w:cs="Calibri"/>
                <w:color w:val="000000"/>
              </w:rPr>
              <w:t xml:space="preserve"> famílias passaram a morar em suas </w:t>
            </w:r>
            <w:r w:rsidRPr="003744CD">
              <w:rPr>
                <w:rFonts w:eastAsia="Calibri" w:cs="Calibri"/>
                <w:color w:val="000000"/>
              </w:rPr>
              <w:t>proximidades, até mesmo as margens, tendo em muitos c</w:t>
            </w:r>
            <w:r>
              <w:rPr>
                <w:rFonts w:eastAsia="Calibri" w:cs="Calibri"/>
                <w:color w:val="000000"/>
              </w:rPr>
              <w:t xml:space="preserve">asos </w:t>
            </w:r>
            <w:r w:rsidRPr="003744CD">
              <w:rPr>
                <w:rFonts w:eastAsia="Calibri" w:cs="Calibri"/>
                <w:color w:val="000000"/>
              </w:rPr>
              <w:t>abandonado as residências antigas para reconstruírem sua</w:t>
            </w:r>
            <w:r>
              <w:rPr>
                <w:rFonts w:eastAsia="Calibri" w:cs="Calibri"/>
                <w:color w:val="000000"/>
              </w:rPr>
              <w:t xml:space="preserve">s relações no novo contexto de </w:t>
            </w:r>
            <w:r w:rsidRPr="003744CD">
              <w:rPr>
                <w:rFonts w:eastAsia="Calibri" w:cs="Calibri"/>
                <w:color w:val="000000"/>
              </w:rPr>
              <w:t xml:space="preserve">“progresso” que lhes apresentava. </w:t>
            </w:r>
            <w:r>
              <w:rPr>
                <w:rFonts w:eastAsia="Calibri" w:cs="Calibri"/>
                <w:color w:val="000000"/>
              </w:rPr>
              <w:t xml:space="preserve">Suas residências </w:t>
            </w:r>
            <w:r w:rsidRPr="003744CD">
              <w:rPr>
                <w:rFonts w:eastAsia="Calibri" w:cs="Calibri"/>
                <w:color w:val="000000"/>
              </w:rPr>
              <w:t xml:space="preserve">eram próximas </w:t>
            </w:r>
            <w:proofErr w:type="gramStart"/>
            <w:r w:rsidRPr="003744CD">
              <w:rPr>
                <w:rFonts w:eastAsia="Calibri" w:cs="Calibri"/>
                <w:color w:val="000000"/>
              </w:rPr>
              <w:t>as</w:t>
            </w:r>
            <w:proofErr w:type="gramEnd"/>
            <w:r w:rsidRPr="003744CD">
              <w:rPr>
                <w:rFonts w:eastAsia="Calibri" w:cs="Calibri"/>
                <w:color w:val="000000"/>
              </w:rPr>
              <w:t xml:space="preserve"> encostas dos mor</w:t>
            </w:r>
            <w:r>
              <w:rPr>
                <w:rFonts w:eastAsia="Calibri" w:cs="Calibri"/>
                <w:color w:val="000000"/>
              </w:rPr>
              <w:t xml:space="preserve">ros, onde realizavam o cultivo </w:t>
            </w:r>
            <w:r w:rsidRPr="003744CD">
              <w:rPr>
                <w:rFonts w:eastAsia="Calibri" w:cs="Calibri"/>
                <w:color w:val="000000"/>
              </w:rPr>
              <w:t xml:space="preserve">agrícola e tinham acesso aos canais de navegação. </w:t>
            </w:r>
            <w:r>
              <w:rPr>
                <w:rFonts w:eastAsia="Calibri" w:cs="Calibri"/>
                <w:color w:val="000000"/>
              </w:rPr>
              <w:t>P</w:t>
            </w:r>
            <w:r w:rsidRPr="004E4CF0">
              <w:rPr>
                <w:rFonts w:eastAsia="Calibri" w:cs="Calibri"/>
                <w:color w:val="000000"/>
              </w:rPr>
              <w:t>ois toda a vida das comunidades, então dependentes apenas do rio para transporte, escoamento de suas produções e demais necessidade, agora poderia ser feito pela estrada. O abando</w:t>
            </w:r>
            <w:r>
              <w:rPr>
                <w:rFonts w:eastAsia="Calibri" w:cs="Calibri"/>
                <w:color w:val="000000"/>
              </w:rPr>
              <w:t>no da rota fluvial não demorou. E u</w:t>
            </w:r>
            <w:r w:rsidRPr="004E4CF0">
              <w:rPr>
                <w:rFonts w:eastAsia="Calibri" w:cs="Calibri"/>
                <w:color w:val="000000"/>
              </w:rPr>
              <w:t>ma vez</w:t>
            </w:r>
            <w:r>
              <w:rPr>
                <w:rFonts w:eastAsia="Calibri" w:cs="Calibri"/>
                <w:color w:val="000000"/>
              </w:rPr>
              <w:t>,</w:t>
            </w:r>
            <w:r w:rsidRPr="004E4CF0">
              <w:rPr>
                <w:rFonts w:eastAsia="Calibri" w:cs="Calibri"/>
                <w:color w:val="000000"/>
              </w:rPr>
              <w:t xml:space="preserve"> qu</w:t>
            </w:r>
            <w:r>
              <w:rPr>
                <w:rFonts w:eastAsia="Calibri" w:cs="Calibri"/>
                <w:color w:val="000000"/>
              </w:rPr>
              <w:t>e,</w:t>
            </w:r>
            <w:r w:rsidRPr="004E4CF0">
              <w:rPr>
                <w:rFonts w:eastAsia="Calibri" w:cs="Calibri"/>
                <w:color w:val="000000"/>
              </w:rPr>
              <w:t xml:space="preserve"> a estrada era muito</w:t>
            </w:r>
            <w:r>
              <w:rPr>
                <w:rFonts w:eastAsia="Calibri" w:cs="Calibri"/>
                <w:color w:val="000000"/>
              </w:rPr>
              <w:t xml:space="preserve"> precária, os pedidos passaram a ser</w:t>
            </w:r>
            <w:r w:rsidRPr="004E4CF0">
              <w:rPr>
                <w:rFonts w:eastAsia="Calibri" w:cs="Calibri"/>
                <w:color w:val="000000"/>
              </w:rPr>
              <w:t xml:space="preserve"> de melhorias, a</w:t>
            </w:r>
            <w:r>
              <w:rPr>
                <w:rFonts w:eastAsia="Calibri" w:cs="Calibri"/>
                <w:color w:val="000000"/>
              </w:rPr>
              <w:t xml:space="preserve"> partir de então, o poder público estadual anunciou verbas para tais melhorias que nunca ocorreram. Em 2013, o Governo divulga a realização de</w:t>
            </w:r>
            <w:r>
              <w:t xml:space="preserve"> </w:t>
            </w:r>
            <w:r>
              <w:rPr>
                <w:rFonts w:eastAsia="Calibri" w:cs="Calibri"/>
                <w:color w:val="000000"/>
              </w:rPr>
              <w:t xml:space="preserve">Estudo de </w:t>
            </w:r>
            <w:r w:rsidRPr="009D0015">
              <w:rPr>
                <w:rFonts w:eastAsia="Calibri" w:cs="Calibri"/>
                <w:color w:val="000000"/>
              </w:rPr>
              <w:t>Impacto Ambiental (</w:t>
            </w:r>
            <w:r>
              <w:rPr>
                <w:rFonts w:eastAsia="Calibri" w:cs="Calibri"/>
                <w:color w:val="000000"/>
              </w:rPr>
              <w:t xml:space="preserve">EIA) junto com um Plano Básico </w:t>
            </w:r>
            <w:r w:rsidRPr="009D0015">
              <w:rPr>
                <w:rFonts w:eastAsia="Calibri" w:cs="Calibri"/>
                <w:color w:val="000000"/>
              </w:rPr>
              <w:t>Ambiental para avaliar o melhor traçado dos 76,6 quilômetros da PR 405</w:t>
            </w:r>
            <w:r>
              <w:rPr>
                <w:rFonts w:eastAsia="Calibri" w:cs="Calibri"/>
                <w:color w:val="000000"/>
              </w:rPr>
              <w:t xml:space="preserve">. </w:t>
            </w:r>
            <w:r w:rsidRPr="007F71C4">
              <w:rPr>
                <w:rFonts w:eastAsia="Calibri" w:cs="Calibri"/>
                <w:color w:val="000000"/>
              </w:rPr>
              <w:t xml:space="preserve">Instituições ambientalistas propõem que a estrada pode ser melhorada seguindo as recomendações ambientais prescritas, com estudos específicos e adotando técnicas de impacto mínimo, considerando a dinâmica ambiental e social da região. Porém, as opiniões ainda são divergentes entre a população local, que anseia melhores condições de transporte, mas teme a especulação imobiliária e a alteração do ambiente e do modo de vida local. </w:t>
            </w:r>
            <w:r>
              <w:rPr>
                <w:rFonts w:eastAsia="Calibri" w:cs="Calibri"/>
                <w:color w:val="000000"/>
              </w:rPr>
              <w:t>Porém, até o presente momento as opiniões são divergentes entre a população local, que anseia melhores condições de transporte, mas teme a especulação imobiliária e a alteração do ambiente e do modo de vida local.</w:t>
            </w:r>
          </w:p>
        </w:tc>
      </w:tr>
      <w:tr w:rsidR="009C776E" w:rsidRPr="00DC3586" w:rsidTr="009C776E">
        <w:trPr>
          <w:trHeight w:val="300"/>
          <w:jc w:val="center"/>
        </w:trPr>
        <w:tc>
          <w:tcPr>
            <w:tcW w:w="1418" w:type="dxa"/>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color w:val="000000"/>
              </w:rPr>
            </w:pPr>
            <w:r w:rsidRPr="00DC3586">
              <w:rPr>
                <w:rFonts w:eastAsia="Calibri" w:cs="Calibri"/>
                <w:b/>
                <w:bCs/>
                <w:color w:val="000000"/>
              </w:rPr>
              <w:t>Referências</w:t>
            </w:r>
          </w:p>
        </w:tc>
        <w:tc>
          <w:tcPr>
            <w:tcW w:w="7086" w:type="dxa"/>
            <w:tcBorders>
              <w:top w:val="single" w:sz="4" w:space="0" w:color="auto"/>
              <w:bottom w:val="single" w:sz="4" w:space="0" w:color="auto"/>
            </w:tcBorders>
            <w:shd w:val="clear" w:color="auto" w:fill="auto"/>
            <w:vAlign w:val="center"/>
            <w:hideMark/>
          </w:tcPr>
          <w:p w:rsidR="009C776E" w:rsidRPr="009D0015" w:rsidRDefault="009C776E" w:rsidP="009C776E">
            <w:pPr>
              <w:jc w:val="both"/>
              <w:rPr>
                <w:rFonts w:eastAsia="Calibri" w:cs="Calibri"/>
                <w:color w:val="000000"/>
              </w:rPr>
            </w:pPr>
            <w:r w:rsidRPr="009D0015">
              <w:rPr>
                <w:rFonts w:eastAsia="Calibri" w:cs="Calibri"/>
                <w:color w:val="000000"/>
              </w:rPr>
              <w:t xml:space="preserve">AEN. </w:t>
            </w:r>
            <w:r w:rsidRPr="002F46FF">
              <w:rPr>
                <w:rFonts w:eastAsia="Calibri" w:cs="Calibri"/>
                <w:b/>
                <w:color w:val="000000"/>
              </w:rPr>
              <w:t>Agência de Notícias do Paraná</w:t>
            </w:r>
            <w:r w:rsidRPr="009D0015">
              <w:rPr>
                <w:rFonts w:eastAsia="Calibri" w:cs="Calibri"/>
                <w:color w:val="000000"/>
              </w:rPr>
              <w:t xml:space="preserve">. </w:t>
            </w:r>
            <w:proofErr w:type="spellStart"/>
            <w:r w:rsidRPr="009D0015">
              <w:rPr>
                <w:rFonts w:eastAsia="Calibri" w:cs="Calibri"/>
                <w:color w:val="000000"/>
              </w:rPr>
              <w:t>Richa</w:t>
            </w:r>
            <w:proofErr w:type="spellEnd"/>
            <w:r w:rsidRPr="009D0015">
              <w:rPr>
                <w:rFonts w:eastAsia="Calibri" w:cs="Calibri"/>
                <w:color w:val="000000"/>
              </w:rPr>
              <w:t xml:space="preserve"> autori</w:t>
            </w:r>
            <w:r>
              <w:rPr>
                <w:rFonts w:eastAsia="Calibri" w:cs="Calibri"/>
                <w:color w:val="000000"/>
              </w:rPr>
              <w:t xml:space="preserve">za estudo para pavimentação da </w:t>
            </w:r>
            <w:r w:rsidRPr="009D0015">
              <w:rPr>
                <w:rFonts w:eastAsia="Calibri" w:cs="Calibri"/>
                <w:color w:val="000000"/>
              </w:rPr>
              <w:t>estrada de acesso a Guaraqueçaba.  C</w:t>
            </w:r>
            <w:r>
              <w:rPr>
                <w:rFonts w:eastAsia="Calibri" w:cs="Calibri"/>
                <w:color w:val="000000"/>
              </w:rPr>
              <w:t xml:space="preserve">uritiba, jan. /2013. </w:t>
            </w:r>
            <w:proofErr w:type="gramStart"/>
            <w:r>
              <w:rPr>
                <w:rFonts w:eastAsia="Calibri" w:cs="Calibri"/>
                <w:color w:val="000000"/>
              </w:rPr>
              <w:t>Disponível:</w:t>
            </w:r>
            <w:proofErr w:type="gramEnd"/>
            <w:r w:rsidRPr="009D0015">
              <w:rPr>
                <w:rFonts w:eastAsia="Calibri" w:cs="Calibri"/>
                <w:color w:val="000000"/>
              </w:rPr>
              <w:t>http://www.aen.pr.gov.br/modules/notic</w:t>
            </w:r>
            <w:r>
              <w:rPr>
                <w:rFonts w:eastAsia="Calibri" w:cs="Calibri"/>
                <w:color w:val="000000"/>
              </w:rPr>
              <w:t>ias/article.php?</w:t>
            </w:r>
            <w:proofErr w:type="gramStart"/>
            <w:r>
              <w:rPr>
                <w:rFonts w:eastAsia="Calibri" w:cs="Calibri"/>
                <w:color w:val="000000"/>
              </w:rPr>
              <w:t>storyid</w:t>
            </w:r>
            <w:proofErr w:type="gramEnd"/>
            <w:r>
              <w:rPr>
                <w:rFonts w:eastAsia="Calibri" w:cs="Calibri"/>
                <w:color w:val="000000"/>
              </w:rPr>
              <w:t xml:space="preserve">=72705. Acesso em: 30 out. </w:t>
            </w:r>
            <w:r w:rsidRPr="009D0015">
              <w:rPr>
                <w:rFonts w:eastAsia="Calibri" w:cs="Calibri"/>
                <w:color w:val="000000"/>
              </w:rPr>
              <w:t>2</w:t>
            </w:r>
            <w:r>
              <w:rPr>
                <w:rFonts w:eastAsia="Calibri" w:cs="Calibri"/>
                <w:color w:val="000000"/>
              </w:rPr>
              <w:t>016</w:t>
            </w:r>
            <w:r w:rsidRPr="009D0015">
              <w:rPr>
                <w:rFonts w:eastAsia="Calibri" w:cs="Calibri"/>
                <w:color w:val="000000"/>
              </w:rPr>
              <w:t xml:space="preserve">. </w:t>
            </w:r>
          </w:p>
          <w:p w:rsidR="009C776E" w:rsidRDefault="009C776E" w:rsidP="009C776E">
            <w:pPr>
              <w:jc w:val="both"/>
              <w:rPr>
                <w:rFonts w:eastAsia="Calibri" w:cs="Calibri"/>
                <w:color w:val="000000"/>
              </w:rPr>
            </w:pPr>
            <w:r w:rsidRPr="00EC6786">
              <w:rPr>
                <w:rFonts w:eastAsia="Calibri" w:cs="Calibri"/>
                <w:color w:val="000000"/>
              </w:rPr>
              <w:t xml:space="preserve">CAMPOS, L. A. de P.; KOMARCHESKI, </w:t>
            </w:r>
            <w:r>
              <w:rPr>
                <w:rFonts w:eastAsia="Calibri" w:cs="Calibri"/>
                <w:color w:val="000000"/>
              </w:rPr>
              <w:t>Rosilene;</w:t>
            </w:r>
            <w:r w:rsidRPr="00EC6786">
              <w:rPr>
                <w:rFonts w:eastAsia="Calibri" w:cs="Calibri"/>
                <w:color w:val="000000"/>
              </w:rPr>
              <w:t xml:space="preserve"> SULZBACH, M. T. </w:t>
            </w:r>
            <w:r>
              <w:rPr>
                <w:rFonts w:eastAsia="Calibri" w:cs="Calibri"/>
                <w:color w:val="000000"/>
              </w:rPr>
              <w:t xml:space="preserve">Conflitos socioambientais em </w:t>
            </w:r>
            <w:proofErr w:type="gramStart"/>
            <w:r>
              <w:rPr>
                <w:rFonts w:eastAsia="Calibri" w:cs="Calibri"/>
                <w:color w:val="000000"/>
              </w:rPr>
              <w:t>Guaraqueçaba-PR</w:t>
            </w:r>
            <w:proofErr w:type="gramEnd"/>
            <w:r w:rsidRPr="00EC6786">
              <w:rPr>
                <w:rFonts w:eastAsia="Calibri" w:cs="Calibri"/>
                <w:color w:val="000000"/>
              </w:rPr>
              <w:t xml:space="preserve">: o caso da rodovia da banana. In: </w:t>
            </w:r>
            <w:r w:rsidRPr="00EC6786">
              <w:rPr>
                <w:rFonts w:eastAsia="Calibri" w:cs="Calibri"/>
                <w:b/>
                <w:color w:val="000000"/>
              </w:rPr>
              <w:t>Anais</w:t>
            </w:r>
            <w:r w:rsidRPr="00EC6786">
              <w:rPr>
                <w:rFonts w:eastAsia="Calibri" w:cs="Calibri"/>
                <w:color w:val="000000"/>
              </w:rPr>
              <w:t xml:space="preserve"> </w:t>
            </w:r>
            <w:r>
              <w:rPr>
                <w:rFonts w:eastAsia="Calibri" w:cs="Calibri"/>
                <w:color w:val="000000"/>
              </w:rPr>
              <w:t xml:space="preserve">da </w:t>
            </w:r>
            <w:r w:rsidRPr="00EC6786">
              <w:rPr>
                <w:rFonts w:eastAsia="Calibri" w:cs="Calibri"/>
                <w:color w:val="000000"/>
              </w:rPr>
              <w:t xml:space="preserve">II Jornada de Questão Agrária e Desenvolvimento: projetos sociais e políticas públicas em disputa. Curitiba: UFPR, 2013. </w:t>
            </w:r>
            <w:proofErr w:type="gramStart"/>
            <w:r w:rsidRPr="00EC6786">
              <w:rPr>
                <w:rFonts w:eastAsia="Calibri" w:cs="Calibri"/>
                <w:color w:val="000000"/>
              </w:rPr>
              <w:t>v.</w:t>
            </w:r>
            <w:proofErr w:type="gramEnd"/>
            <w:r w:rsidRPr="00EC6786">
              <w:rPr>
                <w:rFonts w:eastAsia="Calibri" w:cs="Calibri"/>
                <w:color w:val="000000"/>
              </w:rPr>
              <w:t xml:space="preserve"> 1.</w:t>
            </w:r>
          </w:p>
          <w:p w:rsidR="009C776E" w:rsidRDefault="009C776E" w:rsidP="009C776E">
            <w:pPr>
              <w:jc w:val="both"/>
              <w:rPr>
                <w:rFonts w:eastAsia="Calibri" w:cs="Calibri"/>
                <w:color w:val="000000"/>
              </w:rPr>
            </w:pPr>
            <w:r w:rsidRPr="00EC6786">
              <w:rPr>
                <w:rFonts w:eastAsia="Calibri" w:cs="Calibri"/>
                <w:color w:val="000000"/>
              </w:rPr>
              <w:t xml:space="preserve">CAMPOS, L. A. de P.; KOMARCHESKI, Rosilene; SULZBACH, M. T. Conflitos territoriais no meio rural de Guaraqueçaba - PR. In: </w:t>
            </w:r>
            <w:proofErr w:type="gramStart"/>
            <w:r w:rsidRPr="006F6B1A">
              <w:rPr>
                <w:rFonts w:eastAsia="Calibri" w:cs="Calibri"/>
                <w:b/>
                <w:color w:val="000000"/>
              </w:rPr>
              <w:t>Anais</w:t>
            </w:r>
            <w:r>
              <w:rPr>
                <w:rFonts w:eastAsia="Calibri" w:cs="Calibri"/>
                <w:color w:val="000000"/>
              </w:rPr>
              <w:t xml:space="preserve"> </w:t>
            </w:r>
            <w:r w:rsidRPr="00EC6786">
              <w:rPr>
                <w:rFonts w:eastAsia="Calibri" w:cs="Calibri"/>
                <w:color w:val="000000"/>
              </w:rPr>
              <w:t>VI</w:t>
            </w:r>
            <w:proofErr w:type="gramEnd"/>
            <w:r w:rsidRPr="00EC6786">
              <w:rPr>
                <w:rFonts w:eastAsia="Calibri" w:cs="Calibri"/>
                <w:color w:val="000000"/>
              </w:rPr>
              <w:t xml:space="preserve"> Enc</w:t>
            </w:r>
            <w:r>
              <w:rPr>
                <w:rFonts w:eastAsia="Calibri" w:cs="Calibri"/>
                <w:color w:val="000000"/>
              </w:rPr>
              <w:t>ontro da Rede de Estudos Rurais</w:t>
            </w:r>
            <w:r w:rsidRPr="00EC6786">
              <w:rPr>
                <w:rFonts w:eastAsia="Calibri" w:cs="Calibri"/>
                <w:color w:val="000000"/>
              </w:rPr>
              <w:t>: desigualdade, exclusão e conflitos nos espaços r</w:t>
            </w:r>
            <w:r>
              <w:rPr>
                <w:rFonts w:eastAsia="Calibri" w:cs="Calibri"/>
                <w:color w:val="000000"/>
              </w:rPr>
              <w:t>urais. Campinas: Unicamp, 2014.</w:t>
            </w:r>
          </w:p>
          <w:p w:rsidR="009C776E" w:rsidRPr="000045FC" w:rsidRDefault="009C776E" w:rsidP="009C776E">
            <w:pPr>
              <w:spacing w:line="240" w:lineRule="auto"/>
              <w:jc w:val="both"/>
              <w:rPr>
                <w:rFonts w:eastAsia="Calibri" w:cs="Calibri"/>
                <w:color w:val="000000"/>
              </w:rPr>
            </w:pPr>
            <w:r>
              <w:rPr>
                <w:rFonts w:eastAsia="Calibri" w:cs="Calibri"/>
                <w:color w:val="000000"/>
              </w:rPr>
              <w:t xml:space="preserve">MUNIZ, José Carlos. </w:t>
            </w:r>
            <w:r w:rsidRPr="002B550A">
              <w:rPr>
                <w:rFonts w:eastAsia="Calibri" w:cs="Calibri"/>
                <w:color w:val="000000"/>
              </w:rPr>
              <w:t>PR 405 - a velha e esburacada estrada... Campanha de pavimentação, agora com cara e força nova</w:t>
            </w:r>
            <w:r>
              <w:rPr>
                <w:rFonts w:eastAsia="Calibri" w:cs="Calibri"/>
                <w:color w:val="000000"/>
              </w:rPr>
              <w:t xml:space="preserve">. Guaraqueçaba, 15 fev. 2011. Disponível em: </w:t>
            </w:r>
            <w:r w:rsidRPr="00F25DA4">
              <w:rPr>
                <w:rFonts w:eastAsia="Calibri" w:cs="Calibri"/>
              </w:rPr>
              <w:t>http://informativo-nossopixirum.blogspot.com.br/2011/02/pr-405-velha-e-esburacada-estrada.html</w:t>
            </w:r>
            <w:r>
              <w:rPr>
                <w:rFonts w:eastAsia="Calibri" w:cs="Calibri"/>
                <w:color w:val="000000"/>
              </w:rPr>
              <w:t>. Acesso em: 15 nov. 2016.</w:t>
            </w:r>
          </w:p>
        </w:tc>
      </w:tr>
    </w:tbl>
    <w:p w:rsidR="009C776E" w:rsidRDefault="009C776E" w:rsidP="009C776E">
      <w:pPr>
        <w:rPr>
          <w:sz w:val="24"/>
          <w:szCs w:val="24"/>
        </w:rPr>
      </w:pPr>
    </w:p>
    <w:p w:rsidR="009C776E" w:rsidRDefault="009C776E" w:rsidP="009C776E">
      <w:pPr>
        <w:shd w:val="clear" w:color="auto" w:fill="FFFFFF"/>
        <w:jc w:val="both"/>
        <w:rPr>
          <w:color w:val="000000"/>
          <w:sz w:val="24"/>
          <w:szCs w:val="24"/>
        </w:rPr>
      </w:pPr>
      <w:r>
        <w:rPr>
          <w:color w:val="000000"/>
          <w:sz w:val="24"/>
          <w:szCs w:val="24"/>
        </w:rPr>
        <w:tab/>
        <w:t xml:space="preserve">Embora anterior </w:t>
      </w:r>
      <w:proofErr w:type="gramStart"/>
      <w:r>
        <w:rPr>
          <w:color w:val="000000"/>
          <w:sz w:val="24"/>
          <w:szCs w:val="24"/>
        </w:rPr>
        <w:t>a</w:t>
      </w:r>
      <w:proofErr w:type="gramEnd"/>
      <w:r>
        <w:rPr>
          <w:color w:val="000000"/>
          <w:sz w:val="24"/>
          <w:szCs w:val="24"/>
        </w:rPr>
        <w:t xml:space="preserve"> construção da PR 405, o estabelecimento dos latifundiários</w:t>
      </w:r>
      <w:r>
        <w:rPr>
          <w:rStyle w:val="Refdenotaderodap"/>
          <w:sz w:val="24"/>
          <w:szCs w:val="24"/>
        </w:rPr>
        <w:footnoteReference w:id="2"/>
      </w:r>
      <w:r>
        <w:rPr>
          <w:color w:val="000000"/>
          <w:sz w:val="24"/>
          <w:szCs w:val="24"/>
        </w:rPr>
        <w:t xml:space="preserve"> no território, favorecido pelos incentivos governamentais da década de 1970, foi impulsionado pela estrada. Segundo Souza (2010), com a construção da PR 405</w:t>
      </w:r>
      <w:r w:rsidRPr="00201C35">
        <w:rPr>
          <w:color w:val="000000"/>
          <w:sz w:val="24"/>
          <w:szCs w:val="24"/>
        </w:rPr>
        <w:t xml:space="preserve"> ocorreu o aumento dos </w:t>
      </w:r>
      <w:r>
        <w:rPr>
          <w:color w:val="000000"/>
          <w:sz w:val="24"/>
          <w:szCs w:val="24"/>
        </w:rPr>
        <w:t xml:space="preserve">rebanhos de gado (anteriormente </w:t>
      </w:r>
      <w:r w:rsidRPr="00201C35">
        <w:rPr>
          <w:color w:val="000000"/>
          <w:sz w:val="24"/>
          <w:szCs w:val="24"/>
        </w:rPr>
        <w:t xml:space="preserve">irrisórios) e a </w:t>
      </w:r>
      <w:r w:rsidRPr="00201C35">
        <w:rPr>
          <w:color w:val="000000"/>
          <w:sz w:val="24"/>
          <w:szCs w:val="24"/>
        </w:rPr>
        <w:lastRenderedPageBreak/>
        <w:t>introdução de búfalos african</w:t>
      </w:r>
      <w:r>
        <w:rPr>
          <w:color w:val="000000"/>
          <w:sz w:val="24"/>
          <w:szCs w:val="24"/>
        </w:rPr>
        <w:t>os, que apesar da adaptação não predominaram. Enfatiza ainda que, com o investimento dos latifundiários n</w:t>
      </w:r>
      <w:r w:rsidRPr="00201C35">
        <w:rPr>
          <w:color w:val="000000"/>
          <w:sz w:val="24"/>
          <w:szCs w:val="24"/>
        </w:rPr>
        <w:t>a produçã</w:t>
      </w:r>
      <w:r>
        <w:rPr>
          <w:color w:val="000000"/>
          <w:sz w:val="24"/>
          <w:szCs w:val="24"/>
        </w:rPr>
        <w:t xml:space="preserve">o do palmito, os quais </w:t>
      </w:r>
      <w:r w:rsidRPr="00201C35">
        <w:rPr>
          <w:color w:val="000000"/>
          <w:sz w:val="24"/>
          <w:szCs w:val="24"/>
        </w:rPr>
        <w:t>que tinham recursos suficientes para faz</w:t>
      </w:r>
      <w:r>
        <w:rPr>
          <w:color w:val="000000"/>
          <w:sz w:val="24"/>
          <w:szCs w:val="24"/>
        </w:rPr>
        <w:t xml:space="preserve">er frente </w:t>
      </w:r>
      <w:proofErr w:type="gramStart"/>
      <w:r>
        <w:rPr>
          <w:color w:val="000000"/>
          <w:sz w:val="24"/>
          <w:szCs w:val="24"/>
        </w:rPr>
        <w:t>a</w:t>
      </w:r>
      <w:proofErr w:type="gramEnd"/>
      <w:r>
        <w:rPr>
          <w:color w:val="000000"/>
          <w:sz w:val="24"/>
          <w:szCs w:val="24"/>
        </w:rPr>
        <w:t xml:space="preserve"> demanda, despontou um conflito com os </w:t>
      </w:r>
      <w:r w:rsidRPr="00201C35">
        <w:rPr>
          <w:color w:val="000000"/>
          <w:sz w:val="24"/>
          <w:szCs w:val="24"/>
        </w:rPr>
        <w:t>agricultores</w:t>
      </w:r>
      <w:r>
        <w:rPr>
          <w:color w:val="000000"/>
          <w:sz w:val="24"/>
          <w:szCs w:val="24"/>
        </w:rPr>
        <w:t xml:space="preserve"> locais</w:t>
      </w:r>
      <w:r w:rsidRPr="00201C35">
        <w:rPr>
          <w:color w:val="000000"/>
          <w:sz w:val="24"/>
          <w:szCs w:val="24"/>
        </w:rPr>
        <w:t xml:space="preserve"> que viviam da extração</w:t>
      </w:r>
      <w:r>
        <w:rPr>
          <w:color w:val="000000"/>
          <w:sz w:val="24"/>
          <w:szCs w:val="24"/>
        </w:rPr>
        <w:t>.</w:t>
      </w:r>
    </w:p>
    <w:p w:rsidR="009C776E" w:rsidRDefault="009C776E" w:rsidP="009C776E">
      <w:pPr>
        <w:shd w:val="clear" w:color="auto" w:fill="FFFFFF"/>
        <w:jc w:val="both"/>
        <w:rPr>
          <w:color w:val="000000"/>
          <w:sz w:val="24"/>
          <w:szCs w:val="24"/>
        </w:rPr>
      </w:pPr>
      <w:r>
        <w:rPr>
          <w:color w:val="000000"/>
          <w:sz w:val="24"/>
          <w:szCs w:val="24"/>
        </w:rPr>
        <w:tab/>
        <w:t>Atualmente o conflito observado</w:t>
      </w:r>
      <w:r>
        <w:rPr>
          <w:rStyle w:val="Refdenotaderodap"/>
          <w:color w:val="000000"/>
          <w:sz w:val="24"/>
          <w:szCs w:val="24"/>
        </w:rPr>
        <w:footnoteReference w:id="3"/>
      </w:r>
      <w:r>
        <w:rPr>
          <w:color w:val="000000"/>
          <w:sz w:val="24"/>
          <w:szCs w:val="24"/>
        </w:rPr>
        <w:t xml:space="preserve"> entre a população local e os latifundiários está em torno dos impactos ambientais decorridos das atividades desse grupo social, e ausência de regularização fundiária que resolva os conflitos de sobreposição de territórios, conforme descrito na Tabela 3:</w:t>
      </w:r>
    </w:p>
    <w:p w:rsidR="009C776E" w:rsidRDefault="009C776E" w:rsidP="009C776E">
      <w:pPr>
        <w:rPr>
          <w:sz w:val="24"/>
          <w:szCs w:val="24"/>
        </w:rPr>
      </w:pPr>
    </w:p>
    <w:p w:rsidR="009C776E" w:rsidRPr="0094717F" w:rsidRDefault="009C776E" w:rsidP="009C776E">
      <w:pPr>
        <w:pStyle w:val="TtuloLegenda"/>
      </w:pPr>
      <w:r>
        <w:t>Tabela 3 – Populações Locais</w:t>
      </w:r>
      <w:proofErr w:type="gramStart"/>
      <w:r>
        <w:t xml:space="preserve">  </w:t>
      </w:r>
      <w:proofErr w:type="gramEnd"/>
      <w:r>
        <w:t>e Latifundiários</w:t>
      </w:r>
    </w:p>
    <w:tbl>
      <w:tblPr>
        <w:tblW w:w="0" w:type="auto"/>
        <w:jc w:val="center"/>
        <w:tblBorders>
          <w:top w:val="single" w:sz="12" w:space="0" w:color="auto"/>
          <w:bottom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503"/>
        <w:gridCol w:w="7708"/>
      </w:tblGrid>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bCs/>
                <w:color w:val="000000"/>
              </w:rPr>
            </w:pPr>
            <w:r w:rsidRPr="00DC3586">
              <w:rPr>
                <w:rFonts w:eastAsia="Calibri" w:cs="Calibri"/>
                <w:b/>
                <w:bCs/>
                <w:color w:val="000000"/>
              </w:rPr>
              <w:t>População atingida</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pStyle w:val="TtuloLegenda"/>
              <w:jc w:val="both"/>
              <w:rPr>
                <w:rFonts w:cs="Calibri"/>
                <w:bCs/>
              </w:rPr>
            </w:pPr>
            <w:r>
              <w:rPr>
                <w:rFonts w:cs="Calibri"/>
                <w:bCs/>
              </w:rPr>
              <w:t>Agricultores Familiares</w:t>
            </w:r>
          </w:p>
        </w:tc>
      </w:tr>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color w:val="000000"/>
              </w:rPr>
            </w:pPr>
            <w:r>
              <w:rPr>
                <w:rFonts w:eastAsia="Calibri" w:cs="Calibri"/>
                <w:b/>
                <w:color w:val="000000"/>
              </w:rPr>
              <w:t>Comuni</w:t>
            </w:r>
            <w:r w:rsidRPr="00DC3586">
              <w:rPr>
                <w:rFonts w:eastAsia="Calibri" w:cs="Calibri"/>
                <w:b/>
                <w:color w:val="000000"/>
              </w:rPr>
              <w:t>dade</w:t>
            </w:r>
            <w:r>
              <w:rPr>
                <w:rFonts w:eastAsia="Calibri" w:cs="Calibri"/>
                <w:b/>
                <w:color w:val="000000"/>
              </w:rPr>
              <w:t xml:space="preserve"> (s)</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jc w:val="both"/>
              <w:rPr>
                <w:rFonts w:eastAsia="Calibri" w:cs="Calibri"/>
                <w:color w:val="000000"/>
              </w:rPr>
            </w:pPr>
            <w:r>
              <w:rPr>
                <w:rFonts w:eastAsia="Calibri" w:cs="Calibri"/>
                <w:color w:val="000000"/>
              </w:rPr>
              <w:t>Comunidades rurais de Antonina e Guaraqueçaba</w:t>
            </w:r>
          </w:p>
        </w:tc>
      </w:tr>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tcPr>
          <w:p w:rsidR="009C776E" w:rsidRPr="00DC3586" w:rsidRDefault="009C776E" w:rsidP="009C776E">
            <w:pPr>
              <w:spacing w:line="240" w:lineRule="auto"/>
              <w:rPr>
                <w:rFonts w:eastAsia="Calibri" w:cs="Calibri"/>
                <w:b/>
                <w:color w:val="000000"/>
              </w:rPr>
            </w:pPr>
            <w:r>
              <w:rPr>
                <w:rFonts w:eastAsia="Calibri" w:cs="Calibri"/>
                <w:b/>
                <w:color w:val="000000"/>
              </w:rPr>
              <w:t>Tensões</w:t>
            </w:r>
          </w:p>
        </w:tc>
        <w:tc>
          <w:tcPr>
            <w:tcW w:w="0" w:type="auto"/>
            <w:tcBorders>
              <w:top w:val="single" w:sz="4" w:space="0" w:color="auto"/>
              <w:bottom w:val="single" w:sz="4" w:space="0" w:color="auto"/>
            </w:tcBorders>
            <w:shd w:val="clear" w:color="auto" w:fill="auto"/>
            <w:vAlign w:val="center"/>
          </w:tcPr>
          <w:p w:rsidR="009C776E" w:rsidRPr="00880182" w:rsidRDefault="009C776E" w:rsidP="009C776E">
            <w:pPr>
              <w:spacing w:line="240" w:lineRule="auto"/>
              <w:jc w:val="both"/>
              <w:rPr>
                <w:rFonts w:eastAsia="Calibri" w:cs="Calibri"/>
                <w:color w:val="000000"/>
              </w:rPr>
            </w:pPr>
            <w:r>
              <w:rPr>
                <w:rFonts w:eastAsia="Calibri" w:cs="Calibri"/>
                <w:color w:val="000000"/>
              </w:rPr>
              <w:t>Sobreposição de</w:t>
            </w:r>
            <w:r w:rsidRPr="00E76A95">
              <w:rPr>
                <w:rFonts w:eastAsia="Calibri" w:cs="Calibri"/>
                <w:color w:val="000000"/>
              </w:rPr>
              <w:t xml:space="preserve"> território</w:t>
            </w:r>
            <w:r>
              <w:rPr>
                <w:rFonts w:eastAsia="Calibri" w:cs="Calibri"/>
                <w:color w:val="000000"/>
              </w:rPr>
              <w:t>, reconfiguração do uso e da ocupação do espaço, ausência de regularização fundiária.</w:t>
            </w:r>
          </w:p>
        </w:tc>
      </w:tr>
      <w:tr w:rsidR="009C776E" w:rsidRPr="00DC3586" w:rsidTr="009C776E">
        <w:trPr>
          <w:trHeight w:val="600"/>
          <w:jc w:val="center"/>
        </w:trPr>
        <w:tc>
          <w:tcPr>
            <w:tcW w:w="0" w:type="auto"/>
            <w:tcBorders>
              <w:top w:val="single" w:sz="4" w:space="0" w:color="auto"/>
              <w:bottom w:val="single" w:sz="4" w:space="0" w:color="auto"/>
            </w:tcBorders>
            <w:vAlign w:val="center"/>
            <w:hideMark/>
          </w:tcPr>
          <w:p w:rsidR="009C776E" w:rsidRPr="00DC3586" w:rsidRDefault="009C776E" w:rsidP="009C776E">
            <w:pPr>
              <w:spacing w:line="240" w:lineRule="auto"/>
              <w:rPr>
                <w:rFonts w:eastAsia="Calibri" w:cs="Calibri"/>
                <w:b/>
                <w:color w:val="000000"/>
              </w:rPr>
            </w:pPr>
            <w:r>
              <w:rPr>
                <w:rFonts w:eastAsia="Calibri" w:cs="Calibri"/>
                <w:b/>
                <w:color w:val="000000"/>
              </w:rPr>
              <w:t>Impact</w:t>
            </w:r>
            <w:r w:rsidRPr="00DC3586">
              <w:rPr>
                <w:rFonts w:eastAsia="Calibri" w:cs="Calibri"/>
                <w:b/>
                <w:color w:val="000000"/>
              </w:rPr>
              <w:t>os ambientais</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jc w:val="both"/>
              <w:rPr>
                <w:rFonts w:eastAsia="Calibri" w:cs="Calibri"/>
                <w:color w:val="000000"/>
              </w:rPr>
            </w:pPr>
            <w:r w:rsidRPr="005071F3">
              <w:rPr>
                <w:rFonts w:eastAsia="Calibri" w:cs="Calibri"/>
                <w:color w:val="000000"/>
              </w:rPr>
              <w:t>Compactaç</w:t>
            </w:r>
            <w:r>
              <w:rPr>
                <w:rFonts w:eastAsia="Calibri" w:cs="Calibri"/>
                <w:color w:val="000000"/>
              </w:rPr>
              <w:t xml:space="preserve">ão do solo, por búfalos; </w:t>
            </w:r>
            <w:r w:rsidRPr="005071F3">
              <w:rPr>
                <w:rFonts w:eastAsia="Calibri" w:cs="Calibri"/>
                <w:color w:val="000000"/>
              </w:rPr>
              <w:t xml:space="preserve">Supressão de APP </w:t>
            </w:r>
            <w:r>
              <w:rPr>
                <w:rFonts w:eastAsia="Calibri" w:cs="Calibri"/>
                <w:color w:val="000000"/>
              </w:rPr>
              <w:t xml:space="preserve">para </w:t>
            </w:r>
            <w:proofErr w:type="spellStart"/>
            <w:r>
              <w:rPr>
                <w:rFonts w:eastAsia="Calibri" w:cs="Calibri"/>
                <w:color w:val="000000"/>
              </w:rPr>
              <w:t>dessedentação</w:t>
            </w:r>
            <w:proofErr w:type="spellEnd"/>
            <w:r>
              <w:rPr>
                <w:rFonts w:eastAsia="Calibri" w:cs="Calibri"/>
                <w:color w:val="000000"/>
              </w:rPr>
              <w:t xml:space="preserve"> dos animais; </w:t>
            </w:r>
            <w:r w:rsidRPr="005071F3">
              <w:rPr>
                <w:rFonts w:eastAsia="Calibri" w:cs="Calibri"/>
                <w:color w:val="000000"/>
              </w:rPr>
              <w:t xml:space="preserve">Introdução da </w:t>
            </w:r>
            <w:proofErr w:type="spellStart"/>
            <w:r w:rsidRPr="005071F3">
              <w:rPr>
                <w:rFonts w:eastAsia="Calibri" w:cs="Calibri"/>
                <w:color w:val="000000"/>
              </w:rPr>
              <w:t>Bracchiaria</w:t>
            </w:r>
            <w:proofErr w:type="spellEnd"/>
            <w:r w:rsidRPr="005071F3">
              <w:rPr>
                <w:rFonts w:eastAsia="Calibri" w:cs="Calibri"/>
                <w:color w:val="000000"/>
              </w:rPr>
              <w:t>, espécie de gramínea exótica, em amplas extensões de pastagens</w:t>
            </w:r>
            <w:r>
              <w:t xml:space="preserve"> </w:t>
            </w:r>
            <w:r w:rsidRPr="005071F3">
              <w:rPr>
                <w:rFonts w:eastAsia="Calibri" w:cs="Calibri"/>
                <w:color w:val="000000"/>
              </w:rPr>
              <w:t xml:space="preserve">Assoreamento dos rios devido supressão de </w:t>
            </w:r>
            <w:proofErr w:type="spellStart"/>
            <w:r w:rsidRPr="005071F3">
              <w:rPr>
                <w:rFonts w:eastAsia="Calibri" w:cs="Calibri"/>
                <w:color w:val="000000"/>
              </w:rPr>
              <w:t>APP’s</w:t>
            </w:r>
            <w:proofErr w:type="spellEnd"/>
            <w:r w:rsidRPr="005071F3">
              <w:rPr>
                <w:rFonts w:eastAsia="Calibri" w:cs="Calibri"/>
                <w:color w:val="000000"/>
              </w:rPr>
              <w:t>;</w:t>
            </w:r>
            <w:r>
              <w:rPr>
                <w:rFonts w:eastAsia="Calibri" w:cs="Calibri"/>
                <w:color w:val="000000"/>
              </w:rPr>
              <w:t xml:space="preserve"> </w:t>
            </w:r>
            <w:r w:rsidRPr="005071F3">
              <w:rPr>
                <w:rFonts w:eastAsia="Calibri" w:cs="Calibri"/>
                <w:color w:val="000000"/>
              </w:rPr>
              <w:t>Desvio de curso d’água;</w:t>
            </w:r>
          </w:p>
        </w:tc>
      </w:tr>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color w:val="000000"/>
              </w:rPr>
            </w:pPr>
            <w:r w:rsidRPr="00DC3586">
              <w:rPr>
                <w:rFonts w:eastAsia="Calibri" w:cs="Calibri"/>
                <w:b/>
                <w:color w:val="000000"/>
              </w:rPr>
              <w:t>Síntese do conflito</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jc w:val="both"/>
              <w:rPr>
                <w:rFonts w:eastAsia="Calibri" w:cs="Calibri"/>
                <w:color w:val="000000"/>
              </w:rPr>
            </w:pPr>
            <w:r>
              <w:rPr>
                <w:rFonts w:eastAsia="Calibri" w:cs="Calibri"/>
                <w:color w:val="000000"/>
              </w:rPr>
              <w:t>Na década de 1970 o governo federal subsidiou, através de incentivos fiscais</w:t>
            </w:r>
            <w:r w:rsidRPr="006D03A1">
              <w:rPr>
                <w:rFonts w:eastAsia="Calibri" w:cs="Calibri"/>
                <w:color w:val="000000"/>
              </w:rPr>
              <w:t xml:space="preserve"> </w:t>
            </w:r>
            <w:r>
              <w:rPr>
                <w:rFonts w:eastAsia="Calibri" w:cs="Calibri"/>
                <w:color w:val="000000"/>
              </w:rPr>
              <w:t>e redução de impostos, o cultivo de</w:t>
            </w:r>
            <w:r w:rsidRPr="006D03A1">
              <w:rPr>
                <w:rFonts w:eastAsia="Calibri" w:cs="Calibri"/>
                <w:color w:val="000000"/>
              </w:rPr>
              <w:t xml:space="preserve"> café, palmito e </w:t>
            </w:r>
            <w:r>
              <w:rPr>
                <w:rFonts w:eastAsia="Calibri" w:cs="Calibri"/>
                <w:color w:val="000000"/>
              </w:rPr>
              <w:t>a criação de</w:t>
            </w:r>
            <w:r w:rsidRPr="006D03A1">
              <w:rPr>
                <w:rFonts w:eastAsia="Calibri" w:cs="Calibri"/>
                <w:color w:val="000000"/>
              </w:rPr>
              <w:t xml:space="preserve"> búfalos</w:t>
            </w:r>
            <w:r>
              <w:rPr>
                <w:rFonts w:eastAsia="Calibri" w:cs="Calibri"/>
                <w:color w:val="000000"/>
              </w:rPr>
              <w:t xml:space="preserve"> na região</w:t>
            </w:r>
            <w:r w:rsidRPr="006D03A1">
              <w:rPr>
                <w:rFonts w:eastAsia="Calibri" w:cs="Calibri"/>
                <w:color w:val="000000"/>
              </w:rPr>
              <w:t xml:space="preserve">. Assim, muitos abriram suas áreas, venderam as madeiras, introduziram o búfalo (que degradou as florestas de planície) e não produziram, nem manejaram o café e o palmito. Somente nos anos </w:t>
            </w:r>
            <w:r>
              <w:rPr>
                <w:rFonts w:eastAsia="Calibri" w:cs="Calibri"/>
                <w:color w:val="000000"/>
              </w:rPr>
              <w:t>19</w:t>
            </w:r>
            <w:r w:rsidRPr="006D03A1">
              <w:rPr>
                <w:rFonts w:eastAsia="Calibri" w:cs="Calibri"/>
                <w:color w:val="000000"/>
              </w:rPr>
              <w:t>80 reconheceu-se que o estímulo dado às atividades agrícolas convencionais sem fiscalização, acarretou a degradação e a acelerada descaracterização ambiental da região, assim como o empobrecimento gradual da população que ali morava, secularmente.</w:t>
            </w:r>
          </w:p>
        </w:tc>
      </w:tr>
      <w:tr w:rsidR="009C776E" w:rsidRPr="00DC3586" w:rsidTr="009C776E">
        <w:trPr>
          <w:trHeight w:val="3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color w:val="000000"/>
              </w:rPr>
            </w:pPr>
            <w:r w:rsidRPr="00DC3586">
              <w:rPr>
                <w:rFonts w:eastAsia="Calibri" w:cs="Calibri"/>
                <w:b/>
                <w:bCs/>
                <w:color w:val="000000"/>
              </w:rPr>
              <w:t>Referências</w:t>
            </w:r>
          </w:p>
        </w:tc>
        <w:tc>
          <w:tcPr>
            <w:tcW w:w="0" w:type="auto"/>
            <w:tcBorders>
              <w:top w:val="single" w:sz="4" w:space="0" w:color="auto"/>
              <w:bottom w:val="single" w:sz="4" w:space="0" w:color="auto"/>
            </w:tcBorders>
            <w:shd w:val="clear" w:color="auto" w:fill="auto"/>
            <w:vAlign w:val="center"/>
            <w:hideMark/>
          </w:tcPr>
          <w:p w:rsidR="009C776E" w:rsidRPr="0057758D" w:rsidRDefault="009C776E" w:rsidP="009C776E">
            <w:pPr>
              <w:spacing w:line="240" w:lineRule="auto"/>
              <w:jc w:val="both"/>
              <w:rPr>
                <w:rFonts w:eastAsia="Calibri"/>
                <w:color w:val="000000"/>
              </w:rPr>
            </w:pPr>
            <w:r>
              <w:rPr>
                <w:rFonts w:eastAsia="Calibri"/>
                <w:color w:val="000000"/>
              </w:rPr>
              <w:t xml:space="preserve">CORNETTA, André. </w:t>
            </w:r>
            <w:r w:rsidRPr="00DF5002">
              <w:rPr>
                <w:rFonts w:eastAsia="Calibri"/>
                <w:color w:val="000000"/>
              </w:rPr>
              <w:t>A Mata Atlântica Privada:</w:t>
            </w:r>
            <w:r>
              <w:rPr>
                <w:rFonts w:eastAsia="Calibri"/>
                <w:color w:val="000000"/>
              </w:rPr>
              <w:t xml:space="preserve"> Conflitos Agrários na APA d</w:t>
            </w:r>
            <w:r w:rsidRPr="0057758D">
              <w:rPr>
                <w:rFonts w:eastAsia="Calibri"/>
                <w:color w:val="000000"/>
              </w:rPr>
              <w:t xml:space="preserve">e </w:t>
            </w:r>
          </w:p>
          <w:p w:rsidR="009C776E" w:rsidRDefault="009C776E" w:rsidP="009C776E">
            <w:pPr>
              <w:spacing w:line="240" w:lineRule="auto"/>
              <w:jc w:val="both"/>
              <w:rPr>
                <w:rFonts w:eastAsia="Calibri"/>
                <w:color w:val="000000"/>
              </w:rPr>
            </w:pPr>
            <w:r>
              <w:rPr>
                <w:rFonts w:eastAsia="Calibri"/>
                <w:color w:val="000000"/>
              </w:rPr>
              <w:t>Guaraqueçaba – PR.</w:t>
            </w:r>
            <w:r>
              <w:t xml:space="preserve"> </w:t>
            </w:r>
            <w:r w:rsidRPr="00DF5002">
              <w:rPr>
                <w:b/>
              </w:rPr>
              <w:t>Anais</w:t>
            </w:r>
            <w:r>
              <w:t xml:space="preserve">. </w:t>
            </w:r>
            <w:r w:rsidRPr="0057758D">
              <w:rPr>
                <w:rFonts w:eastAsia="Calibri"/>
                <w:color w:val="000000"/>
              </w:rPr>
              <w:t>III Simpósio Nacional de Geografia Agrária – II Simpósio Inte</w:t>
            </w:r>
            <w:r>
              <w:rPr>
                <w:rFonts w:eastAsia="Calibri"/>
                <w:color w:val="000000"/>
              </w:rPr>
              <w:t xml:space="preserve">rnacional de Geografia Agrária </w:t>
            </w:r>
            <w:r w:rsidRPr="0057758D">
              <w:rPr>
                <w:rFonts w:eastAsia="Calibri"/>
                <w:color w:val="000000"/>
              </w:rPr>
              <w:t>Jornada Ariovaldo Umbelino de Oliveira – Presiden</w:t>
            </w:r>
            <w:r>
              <w:rPr>
                <w:rFonts w:eastAsia="Calibri"/>
                <w:color w:val="000000"/>
              </w:rPr>
              <w:t xml:space="preserve">te Prudente- SP, </w:t>
            </w:r>
            <w:r w:rsidRPr="0057758D">
              <w:rPr>
                <w:rFonts w:eastAsia="Calibri"/>
                <w:color w:val="000000"/>
              </w:rPr>
              <w:t>2005</w:t>
            </w:r>
            <w:r>
              <w:rPr>
                <w:rFonts w:eastAsia="Calibri"/>
                <w:color w:val="000000"/>
              </w:rPr>
              <w:t>.</w:t>
            </w:r>
          </w:p>
          <w:p w:rsidR="009C776E" w:rsidRDefault="009C776E" w:rsidP="009C776E">
            <w:pPr>
              <w:spacing w:line="240" w:lineRule="auto"/>
              <w:jc w:val="both"/>
              <w:rPr>
                <w:rFonts w:eastAsia="Calibri"/>
                <w:color w:val="000000"/>
              </w:rPr>
            </w:pPr>
            <w:r>
              <w:rPr>
                <w:rFonts w:eastAsia="Calibri"/>
                <w:color w:val="000000"/>
              </w:rPr>
              <w:t xml:space="preserve">SILVA, </w:t>
            </w:r>
            <w:proofErr w:type="spellStart"/>
            <w:r>
              <w:rPr>
                <w:rFonts w:eastAsia="Calibri"/>
                <w:color w:val="000000"/>
              </w:rPr>
              <w:t>Luis</w:t>
            </w:r>
            <w:proofErr w:type="spellEnd"/>
            <w:r>
              <w:rPr>
                <w:rFonts w:eastAsia="Calibri"/>
                <w:color w:val="000000"/>
              </w:rPr>
              <w:t xml:space="preserve"> Rogério. </w:t>
            </w:r>
            <w:r w:rsidRPr="009826FC">
              <w:rPr>
                <w:rFonts w:eastAsia="Calibri"/>
                <w:color w:val="000000"/>
              </w:rPr>
              <w:t xml:space="preserve">Conflitos socioambientais no litoral paranaense: </w:t>
            </w:r>
            <w:proofErr w:type="gramStart"/>
            <w:r w:rsidRPr="009826FC">
              <w:rPr>
                <w:rFonts w:eastAsia="Calibri"/>
                <w:color w:val="000000"/>
              </w:rPr>
              <w:t>a rel</w:t>
            </w:r>
            <w:r>
              <w:rPr>
                <w:rFonts w:eastAsia="Calibri"/>
                <w:color w:val="000000"/>
              </w:rPr>
              <w:t>ação homem e natureza no bioma Mata</w:t>
            </w:r>
            <w:proofErr w:type="gramEnd"/>
            <w:r>
              <w:rPr>
                <w:rFonts w:eastAsia="Calibri"/>
                <w:color w:val="000000"/>
              </w:rPr>
              <w:t xml:space="preserve"> Atlântica.</w:t>
            </w:r>
            <w:r>
              <w:t xml:space="preserve"> </w:t>
            </w:r>
            <w:r w:rsidRPr="00DF5002">
              <w:rPr>
                <w:b/>
              </w:rPr>
              <w:t>Anais</w:t>
            </w:r>
            <w:r>
              <w:rPr>
                <w:b/>
              </w:rPr>
              <w:t>.</w:t>
            </w:r>
            <w:r>
              <w:t xml:space="preserve"> </w:t>
            </w:r>
            <w:r w:rsidRPr="009826FC">
              <w:rPr>
                <w:rFonts w:eastAsia="Calibri"/>
                <w:color w:val="000000"/>
              </w:rPr>
              <w:t>XI Enco</w:t>
            </w:r>
            <w:r>
              <w:rPr>
                <w:rFonts w:eastAsia="Calibri"/>
                <w:color w:val="000000"/>
              </w:rPr>
              <w:t xml:space="preserve">ntro Nacional de História Oral: </w:t>
            </w:r>
            <w:r w:rsidRPr="009826FC">
              <w:rPr>
                <w:rFonts w:eastAsia="Calibri"/>
                <w:color w:val="000000"/>
              </w:rPr>
              <w:t>UFRJ,</w:t>
            </w:r>
            <w:r>
              <w:rPr>
                <w:rFonts w:eastAsia="Calibri"/>
                <w:color w:val="000000"/>
              </w:rPr>
              <w:t xml:space="preserve"> Rio de Jan</w:t>
            </w:r>
            <w:bookmarkStart w:id="0" w:name="_GoBack"/>
            <w:bookmarkEnd w:id="0"/>
            <w:r>
              <w:rPr>
                <w:rFonts w:eastAsia="Calibri"/>
                <w:color w:val="000000"/>
              </w:rPr>
              <w:t xml:space="preserve">eiro, </w:t>
            </w:r>
            <w:r w:rsidRPr="009826FC">
              <w:rPr>
                <w:rFonts w:eastAsia="Calibri"/>
                <w:color w:val="000000"/>
              </w:rPr>
              <w:t>2012.</w:t>
            </w:r>
          </w:p>
          <w:p w:rsidR="009C776E" w:rsidRPr="009826FC" w:rsidRDefault="009C776E" w:rsidP="009C776E">
            <w:pPr>
              <w:spacing w:line="240" w:lineRule="auto"/>
              <w:jc w:val="both"/>
              <w:rPr>
                <w:rFonts w:eastAsia="Calibri"/>
                <w:color w:val="000000"/>
              </w:rPr>
            </w:pPr>
            <w:r w:rsidRPr="006B4240">
              <w:rPr>
                <w:rFonts w:eastAsia="Calibri"/>
                <w:color w:val="000000"/>
              </w:rPr>
              <w:t xml:space="preserve">SOUZA, M. R. Paisagem cultural: patrimônio histórico de Guaraqueçaba/PR. </w:t>
            </w:r>
            <w:r w:rsidRPr="006B4240">
              <w:rPr>
                <w:rFonts w:eastAsia="Calibri"/>
                <w:b/>
                <w:color w:val="000000"/>
              </w:rPr>
              <w:t>Revista GEOINGÁ</w:t>
            </w:r>
            <w:r w:rsidRPr="006B4240">
              <w:rPr>
                <w:rFonts w:eastAsia="Calibri"/>
                <w:color w:val="000000"/>
              </w:rPr>
              <w:t xml:space="preserve">. </w:t>
            </w:r>
            <w:proofErr w:type="gramStart"/>
            <w:r w:rsidRPr="006B4240">
              <w:rPr>
                <w:rFonts w:eastAsia="Calibri"/>
                <w:color w:val="000000"/>
              </w:rPr>
              <w:t>v.</w:t>
            </w:r>
            <w:proofErr w:type="gramEnd"/>
            <w:r w:rsidRPr="006B4240">
              <w:rPr>
                <w:rFonts w:eastAsia="Calibri"/>
                <w:color w:val="000000"/>
              </w:rPr>
              <w:t xml:space="preserve"> 2, n.  2 , p. 102-123. Maringá, 2010.  </w:t>
            </w:r>
          </w:p>
        </w:tc>
      </w:tr>
    </w:tbl>
    <w:p w:rsidR="009C776E" w:rsidRDefault="009C776E" w:rsidP="009C776E">
      <w:pPr>
        <w:shd w:val="clear" w:color="auto" w:fill="FFFFFF"/>
        <w:jc w:val="both"/>
        <w:rPr>
          <w:sz w:val="24"/>
          <w:szCs w:val="24"/>
        </w:rPr>
      </w:pPr>
    </w:p>
    <w:p w:rsidR="009C776E" w:rsidRDefault="009C776E" w:rsidP="009C776E">
      <w:pPr>
        <w:shd w:val="clear" w:color="auto" w:fill="FFFFFF"/>
        <w:ind w:firstLine="708"/>
        <w:jc w:val="both"/>
        <w:rPr>
          <w:sz w:val="24"/>
          <w:szCs w:val="24"/>
        </w:rPr>
      </w:pPr>
      <w:r>
        <w:rPr>
          <w:sz w:val="24"/>
          <w:szCs w:val="24"/>
        </w:rPr>
        <w:lastRenderedPageBreak/>
        <w:t xml:space="preserve">Em decorrência dos agravos ambientais causados pela exploração do território e sob pressão do movimento ambientalista brasileiro, que desponta na década de 1980, as UC surgem como pratica de ordenamento territorial com vista </w:t>
      </w:r>
      <w:proofErr w:type="gramStart"/>
      <w:r>
        <w:rPr>
          <w:sz w:val="24"/>
          <w:szCs w:val="24"/>
        </w:rPr>
        <w:t>a</w:t>
      </w:r>
      <w:proofErr w:type="gramEnd"/>
      <w:r>
        <w:rPr>
          <w:sz w:val="24"/>
          <w:szCs w:val="24"/>
        </w:rPr>
        <w:t xml:space="preserve"> conservação da natureza.</w:t>
      </w:r>
    </w:p>
    <w:p w:rsidR="009C776E" w:rsidRDefault="009C776E" w:rsidP="009C776E">
      <w:pPr>
        <w:ind w:firstLine="709"/>
        <w:jc w:val="both"/>
        <w:rPr>
          <w:sz w:val="24"/>
          <w:szCs w:val="24"/>
        </w:rPr>
      </w:pPr>
      <w:r w:rsidRPr="005F5F44">
        <w:rPr>
          <w:sz w:val="24"/>
          <w:szCs w:val="24"/>
        </w:rPr>
        <w:t>A</w:t>
      </w:r>
      <w:r>
        <w:rPr>
          <w:sz w:val="24"/>
          <w:szCs w:val="24"/>
        </w:rPr>
        <w:t xml:space="preserve"> presença de UC indica uma vontade política </w:t>
      </w:r>
      <w:r w:rsidRPr="005F5F44">
        <w:rPr>
          <w:sz w:val="24"/>
          <w:szCs w:val="24"/>
        </w:rPr>
        <w:t>de</w:t>
      </w:r>
      <w:r>
        <w:rPr>
          <w:sz w:val="24"/>
          <w:szCs w:val="24"/>
        </w:rPr>
        <w:t xml:space="preserve"> </w:t>
      </w:r>
      <w:r w:rsidRPr="005F5F44">
        <w:rPr>
          <w:sz w:val="24"/>
          <w:szCs w:val="24"/>
        </w:rPr>
        <w:t xml:space="preserve">preservar bens ambientais, que pode ser </w:t>
      </w:r>
      <w:r>
        <w:rPr>
          <w:sz w:val="24"/>
          <w:szCs w:val="24"/>
        </w:rPr>
        <w:t xml:space="preserve">compartilhada pela maioria dos </w:t>
      </w:r>
      <w:r w:rsidRPr="005F5F44">
        <w:rPr>
          <w:sz w:val="24"/>
          <w:szCs w:val="24"/>
        </w:rPr>
        <w:t>atores sociais presentes no território. Ou po</w:t>
      </w:r>
      <w:r>
        <w:rPr>
          <w:sz w:val="24"/>
          <w:szCs w:val="24"/>
        </w:rPr>
        <w:t>de significar justamente o opos</w:t>
      </w:r>
      <w:r w:rsidRPr="005F5F44">
        <w:rPr>
          <w:sz w:val="24"/>
          <w:szCs w:val="24"/>
        </w:rPr>
        <w:t>to, gerando reações de amplos setores contrários à sua existênc</w:t>
      </w:r>
      <w:r>
        <w:rPr>
          <w:sz w:val="24"/>
          <w:szCs w:val="24"/>
        </w:rPr>
        <w:t>ia. Num m</w:t>
      </w:r>
      <w:r w:rsidRPr="005F5F44">
        <w:rPr>
          <w:sz w:val="24"/>
          <w:szCs w:val="24"/>
        </w:rPr>
        <w:t>omento histórico como o atual, no qual e</w:t>
      </w:r>
      <w:r>
        <w:rPr>
          <w:sz w:val="24"/>
          <w:szCs w:val="24"/>
        </w:rPr>
        <w:t xml:space="preserve">m 15 anos o Brasil mais do que </w:t>
      </w:r>
      <w:r w:rsidRPr="005F5F44">
        <w:rPr>
          <w:sz w:val="24"/>
          <w:szCs w:val="24"/>
        </w:rPr>
        <w:t>duplicou a quantidade de suas áreas protegidas</w:t>
      </w:r>
      <w:r>
        <w:rPr>
          <w:sz w:val="24"/>
          <w:szCs w:val="24"/>
        </w:rPr>
        <w:t xml:space="preserve">, esse embate entre tendências </w:t>
      </w:r>
      <w:r w:rsidRPr="005F5F44">
        <w:rPr>
          <w:sz w:val="24"/>
          <w:szCs w:val="24"/>
        </w:rPr>
        <w:t>está posto no território e ocorre em uma es</w:t>
      </w:r>
      <w:r>
        <w:rPr>
          <w:sz w:val="24"/>
          <w:szCs w:val="24"/>
        </w:rPr>
        <w:t xml:space="preserve">cala muito mais ampla, na qual </w:t>
      </w:r>
      <w:r w:rsidRPr="005F5F44">
        <w:rPr>
          <w:sz w:val="24"/>
          <w:szCs w:val="24"/>
        </w:rPr>
        <w:t>o território da UC está envolvido</w:t>
      </w:r>
      <w:r>
        <w:rPr>
          <w:sz w:val="24"/>
          <w:szCs w:val="24"/>
        </w:rPr>
        <w:t xml:space="preserve"> (BRASIL, 2015)</w:t>
      </w:r>
      <w:r w:rsidRPr="005F5F44">
        <w:rPr>
          <w:sz w:val="24"/>
          <w:szCs w:val="24"/>
        </w:rPr>
        <w:t xml:space="preserve">.   </w:t>
      </w:r>
    </w:p>
    <w:p w:rsidR="009C776E" w:rsidRDefault="009C776E" w:rsidP="009C776E">
      <w:pPr>
        <w:ind w:firstLine="709"/>
        <w:jc w:val="both"/>
        <w:rPr>
          <w:sz w:val="24"/>
          <w:szCs w:val="24"/>
        </w:rPr>
      </w:pPr>
      <w:r>
        <w:rPr>
          <w:sz w:val="24"/>
          <w:szCs w:val="24"/>
        </w:rPr>
        <w:t>No território da AE as tensões entre os objetivos conservacionistas e as práticas produtivas ligadas à pesca e agricultura, tradicionalmente realizadas pela população local, é um conflito evidente e de complexa resolução. Os desdobramentos desse conflito são alocados na Tabela 4:</w:t>
      </w:r>
    </w:p>
    <w:p w:rsidR="009C776E" w:rsidRDefault="009C776E" w:rsidP="009C776E">
      <w:pPr>
        <w:ind w:firstLine="709"/>
        <w:jc w:val="both"/>
        <w:rPr>
          <w:sz w:val="24"/>
          <w:szCs w:val="24"/>
        </w:rPr>
      </w:pPr>
    </w:p>
    <w:p w:rsidR="009C776E" w:rsidRPr="00D72911" w:rsidRDefault="009C776E" w:rsidP="009C776E">
      <w:pPr>
        <w:pStyle w:val="TtuloLegenda"/>
      </w:pPr>
      <w:r>
        <w:t xml:space="preserve">Tabela 4 – Populações Locais e UC </w:t>
      </w:r>
    </w:p>
    <w:tbl>
      <w:tblPr>
        <w:tblW w:w="0" w:type="auto"/>
        <w:jc w:val="center"/>
        <w:tblBorders>
          <w:top w:val="single" w:sz="12" w:space="0" w:color="auto"/>
          <w:bottom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504"/>
        <w:gridCol w:w="7707"/>
      </w:tblGrid>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bCs/>
                <w:color w:val="000000"/>
              </w:rPr>
            </w:pPr>
            <w:r w:rsidRPr="00DC3586">
              <w:rPr>
                <w:rFonts w:eastAsia="Calibri" w:cs="Calibri"/>
                <w:b/>
                <w:bCs/>
                <w:color w:val="000000"/>
              </w:rPr>
              <w:t>População atingida</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pStyle w:val="TtuloLegenda"/>
              <w:spacing w:line="240" w:lineRule="auto"/>
              <w:jc w:val="both"/>
              <w:rPr>
                <w:rFonts w:cs="Calibri"/>
                <w:bCs/>
              </w:rPr>
            </w:pPr>
            <w:r w:rsidRPr="00D72911">
              <w:rPr>
                <w:rFonts w:cs="Calibri"/>
                <w:bCs/>
              </w:rPr>
              <w:t>Agri</w:t>
            </w:r>
            <w:r>
              <w:rPr>
                <w:rFonts w:cs="Calibri"/>
                <w:bCs/>
              </w:rPr>
              <w:t xml:space="preserve">cultores Familiares, Caiçaras, </w:t>
            </w:r>
            <w:r w:rsidRPr="00D72911">
              <w:rPr>
                <w:rFonts w:cs="Calibri"/>
                <w:bCs/>
              </w:rPr>
              <w:t>Quilombolas</w:t>
            </w:r>
            <w:r>
              <w:rPr>
                <w:rFonts w:cs="Calibri"/>
                <w:bCs/>
              </w:rPr>
              <w:t xml:space="preserve"> Pescadores Artesanais e </w:t>
            </w:r>
            <w:proofErr w:type="gramStart"/>
            <w:r>
              <w:rPr>
                <w:rFonts w:cs="Calibri"/>
                <w:bCs/>
              </w:rPr>
              <w:t>Indígenas</w:t>
            </w:r>
            <w:proofErr w:type="gramEnd"/>
          </w:p>
        </w:tc>
      </w:tr>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color w:val="000000"/>
              </w:rPr>
            </w:pPr>
            <w:r>
              <w:rPr>
                <w:rFonts w:eastAsia="Calibri" w:cs="Calibri"/>
                <w:b/>
                <w:color w:val="000000"/>
              </w:rPr>
              <w:t>Comuni</w:t>
            </w:r>
            <w:r w:rsidRPr="00DC3586">
              <w:rPr>
                <w:rFonts w:eastAsia="Calibri" w:cs="Calibri"/>
                <w:b/>
                <w:color w:val="000000"/>
              </w:rPr>
              <w:t>dade</w:t>
            </w:r>
            <w:r>
              <w:rPr>
                <w:rFonts w:eastAsia="Calibri" w:cs="Calibri"/>
                <w:b/>
                <w:color w:val="000000"/>
              </w:rPr>
              <w:t xml:space="preserve"> (s)</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jc w:val="both"/>
              <w:rPr>
                <w:rFonts w:eastAsia="Calibri" w:cs="Calibri"/>
                <w:color w:val="000000"/>
              </w:rPr>
            </w:pPr>
            <w:r w:rsidRPr="00EA39E9">
              <w:rPr>
                <w:rFonts w:eastAsia="Calibri" w:cs="Calibri"/>
                <w:color w:val="000000"/>
              </w:rPr>
              <w:t xml:space="preserve">Acampamento José </w:t>
            </w:r>
            <w:proofErr w:type="spellStart"/>
            <w:r w:rsidRPr="00EA39E9">
              <w:rPr>
                <w:rFonts w:eastAsia="Calibri" w:cs="Calibri"/>
                <w:color w:val="000000"/>
              </w:rPr>
              <w:t>Lutzem</w:t>
            </w:r>
            <w:r>
              <w:rPr>
                <w:rFonts w:eastAsia="Calibri" w:cs="Calibri"/>
                <w:color w:val="000000"/>
              </w:rPr>
              <w:t>berger</w:t>
            </w:r>
            <w:proofErr w:type="spellEnd"/>
            <w:r w:rsidRPr="00EA39E9">
              <w:rPr>
                <w:rFonts w:eastAsia="Calibri" w:cs="Calibri"/>
                <w:color w:val="000000"/>
              </w:rPr>
              <w:t>;</w:t>
            </w:r>
            <w:r>
              <w:rPr>
                <w:rFonts w:eastAsia="Calibri" w:cs="Calibri"/>
                <w:color w:val="000000"/>
              </w:rPr>
              <w:t xml:space="preserve"> </w:t>
            </w:r>
            <w:r w:rsidRPr="00EA39E9">
              <w:rPr>
                <w:rFonts w:eastAsia="Calibri" w:cs="Calibri"/>
                <w:color w:val="000000"/>
              </w:rPr>
              <w:t>Comunidade</w:t>
            </w:r>
            <w:r>
              <w:rPr>
                <w:rFonts w:eastAsia="Calibri" w:cs="Calibri"/>
                <w:color w:val="000000"/>
              </w:rPr>
              <w:t>s</w:t>
            </w:r>
            <w:r w:rsidRPr="00EA39E9">
              <w:rPr>
                <w:rFonts w:eastAsia="Calibri" w:cs="Calibri"/>
                <w:color w:val="000000"/>
              </w:rPr>
              <w:t xml:space="preserve"> Remanescente</w:t>
            </w:r>
            <w:r>
              <w:rPr>
                <w:rFonts w:eastAsia="Calibri" w:cs="Calibri"/>
                <w:color w:val="000000"/>
              </w:rPr>
              <w:t>s</w:t>
            </w:r>
            <w:r w:rsidRPr="00EA39E9">
              <w:rPr>
                <w:rFonts w:eastAsia="Calibri" w:cs="Calibri"/>
                <w:color w:val="000000"/>
              </w:rPr>
              <w:t xml:space="preserve"> Quilombola</w:t>
            </w:r>
            <w:r>
              <w:rPr>
                <w:rFonts w:eastAsia="Calibri" w:cs="Calibri"/>
                <w:color w:val="000000"/>
              </w:rPr>
              <w:t>s</w:t>
            </w:r>
            <w:r w:rsidRPr="00EA39E9">
              <w:rPr>
                <w:rFonts w:eastAsia="Calibri" w:cs="Calibri"/>
                <w:color w:val="000000"/>
              </w:rPr>
              <w:t xml:space="preserve"> de </w:t>
            </w:r>
            <w:proofErr w:type="spellStart"/>
            <w:r w:rsidRPr="00EA39E9">
              <w:rPr>
                <w:rFonts w:eastAsia="Calibri" w:cs="Calibri"/>
                <w:color w:val="000000"/>
              </w:rPr>
              <w:t>Batuva</w:t>
            </w:r>
            <w:proofErr w:type="spellEnd"/>
            <w:r>
              <w:rPr>
                <w:rFonts w:eastAsia="Calibri" w:cs="Calibri"/>
                <w:color w:val="000000"/>
              </w:rPr>
              <w:t xml:space="preserve"> e Rio Verde; </w:t>
            </w:r>
            <w:proofErr w:type="spellStart"/>
            <w:r>
              <w:rPr>
                <w:rFonts w:eastAsia="Calibri" w:cs="Calibri"/>
                <w:color w:val="000000"/>
              </w:rPr>
              <w:t>Potinga</w:t>
            </w:r>
            <w:proofErr w:type="spellEnd"/>
            <w:r>
              <w:rPr>
                <w:rFonts w:eastAsia="Calibri" w:cs="Calibri"/>
                <w:color w:val="000000"/>
              </w:rPr>
              <w:t>;</w:t>
            </w:r>
            <w:r w:rsidRPr="00F57FD0">
              <w:rPr>
                <w:rFonts w:eastAsia="Calibri" w:cs="Calibri"/>
                <w:color w:val="000000"/>
              </w:rPr>
              <w:t xml:space="preserve"> Engenh</w:t>
            </w:r>
            <w:r>
              <w:rPr>
                <w:rFonts w:eastAsia="Calibri" w:cs="Calibri"/>
                <w:color w:val="000000"/>
              </w:rPr>
              <w:t xml:space="preserve">o Velho, </w:t>
            </w:r>
            <w:proofErr w:type="spellStart"/>
            <w:r>
              <w:rPr>
                <w:rFonts w:eastAsia="Calibri" w:cs="Calibri"/>
                <w:color w:val="000000"/>
              </w:rPr>
              <w:t>Guapicum</w:t>
            </w:r>
            <w:proofErr w:type="spellEnd"/>
            <w:r>
              <w:rPr>
                <w:rFonts w:eastAsia="Calibri" w:cs="Calibri"/>
                <w:color w:val="000000"/>
              </w:rPr>
              <w:t xml:space="preserve">, </w:t>
            </w:r>
            <w:proofErr w:type="spellStart"/>
            <w:r>
              <w:rPr>
                <w:rFonts w:eastAsia="Calibri" w:cs="Calibri"/>
                <w:color w:val="000000"/>
              </w:rPr>
              <w:t>Massarapuã</w:t>
            </w:r>
            <w:proofErr w:type="spellEnd"/>
            <w:r>
              <w:rPr>
                <w:rFonts w:eastAsia="Calibri" w:cs="Calibri"/>
                <w:color w:val="000000"/>
              </w:rPr>
              <w:t xml:space="preserve">, </w:t>
            </w:r>
            <w:proofErr w:type="spellStart"/>
            <w:r w:rsidRPr="00F57FD0">
              <w:rPr>
                <w:rFonts w:eastAsia="Calibri" w:cs="Calibri"/>
                <w:color w:val="000000"/>
              </w:rPr>
              <w:t>Tromomô</w:t>
            </w:r>
            <w:proofErr w:type="spellEnd"/>
            <w:r>
              <w:rPr>
                <w:rFonts w:eastAsia="Calibri" w:cs="Calibri"/>
                <w:color w:val="000000"/>
              </w:rPr>
              <w:t xml:space="preserve">, Almeida, </w:t>
            </w:r>
            <w:proofErr w:type="spellStart"/>
            <w:proofErr w:type="gramStart"/>
            <w:r>
              <w:rPr>
                <w:rFonts w:eastAsia="Calibri" w:cs="Calibri"/>
                <w:color w:val="000000"/>
              </w:rPr>
              <w:t>Tibicanga</w:t>
            </w:r>
            <w:proofErr w:type="spellEnd"/>
            <w:proofErr w:type="gramEnd"/>
          </w:p>
        </w:tc>
      </w:tr>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tcPr>
          <w:p w:rsidR="009C776E" w:rsidRPr="00DC3586" w:rsidRDefault="009C776E" w:rsidP="009C776E">
            <w:pPr>
              <w:spacing w:line="240" w:lineRule="auto"/>
              <w:rPr>
                <w:rFonts w:eastAsia="Calibri" w:cs="Calibri"/>
                <w:b/>
                <w:color w:val="000000"/>
              </w:rPr>
            </w:pPr>
            <w:r>
              <w:rPr>
                <w:rFonts w:eastAsia="Calibri" w:cs="Calibri"/>
                <w:b/>
                <w:color w:val="000000"/>
              </w:rPr>
              <w:t>Tensões</w:t>
            </w:r>
          </w:p>
        </w:tc>
        <w:tc>
          <w:tcPr>
            <w:tcW w:w="0" w:type="auto"/>
            <w:tcBorders>
              <w:top w:val="single" w:sz="4" w:space="0" w:color="auto"/>
              <w:bottom w:val="single" w:sz="4" w:space="0" w:color="auto"/>
            </w:tcBorders>
            <w:shd w:val="clear" w:color="auto" w:fill="auto"/>
            <w:vAlign w:val="center"/>
          </w:tcPr>
          <w:p w:rsidR="009C776E" w:rsidRPr="00880182" w:rsidRDefault="009C776E" w:rsidP="009C776E">
            <w:pPr>
              <w:spacing w:line="240" w:lineRule="auto"/>
              <w:jc w:val="both"/>
              <w:rPr>
                <w:rFonts w:eastAsia="Calibri" w:cs="Calibri"/>
                <w:color w:val="000000"/>
              </w:rPr>
            </w:pPr>
            <w:r>
              <w:rPr>
                <w:rFonts w:eastAsia="Calibri" w:cs="Calibri"/>
                <w:color w:val="000000"/>
              </w:rPr>
              <w:t>Sobreposição de territórios, a</w:t>
            </w:r>
            <w:r w:rsidRPr="000055D0">
              <w:rPr>
                <w:rFonts w:eastAsia="Calibri" w:cs="Calibri"/>
                <w:color w:val="000000"/>
              </w:rPr>
              <w:t>lteração no regime tradicional de uso e ocupação do território</w:t>
            </w:r>
            <w:r>
              <w:rPr>
                <w:rFonts w:eastAsia="Calibri" w:cs="Calibri"/>
                <w:color w:val="000000"/>
              </w:rPr>
              <w:t>, participação social de baixa efetividade.</w:t>
            </w:r>
          </w:p>
        </w:tc>
      </w:tr>
      <w:tr w:rsidR="009C776E" w:rsidRPr="00DC3586" w:rsidTr="009C776E">
        <w:trPr>
          <w:trHeight w:val="600"/>
          <w:jc w:val="center"/>
        </w:trPr>
        <w:tc>
          <w:tcPr>
            <w:tcW w:w="0" w:type="auto"/>
            <w:tcBorders>
              <w:top w:val="single" w:sz="4" w:space="0" w:color="auto"/>
              <w:bottom w:val="single" w:sz="4" w:space="0" w:color="auto"/>
            </w:tcBorders>
            <w:vAlign w:val="center"/>
            <w:hideMark/>
          </w:tcPr>
          <w:p w:rsidR="009C776E" w:rsidRPr="00DC3586" w:rsidRDefault="009C776E" w:rsidP="009C776E">
            <w:pPr>
              <w:spacing w:line="240" w:lineRule="auto"/>
              <w:rPr>
                <w:rFonts w:eastAsia="Calibri" w:cs="Calibri"/>
                <w:b/>
                <w:color w:val="000000"/>
              </w:rPr>
            </w:pPr>
            <w:r>
              <w:rPr>
                <w:rFonts w:eastAsia="Calibri" w:cs="Calibri"/>
                <w:b/>
                <w:color w:val="000000"/>
              </w:rPr>
              <w:t>Impact</w:t>
            </w:r>
            <w:r w:rsidRPr="00DC3586">
              <w:rPr>
                <w:rFonts w:eastAsia="Calibri" w:cs="Calibri"/>
                <w:b/>
                <w:color w:val="000000"/>
              </w:rPr>
              <w:t>os ambientais</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jc w:val="both"/>
              <w:rPr>
                <w:rFonts w:eastAsia="Calibri" w:cs="Calibri"/>
                <w:color w:val="000000"/>
              </w:rPr>
            </w:pPr>
            <w:r>
              <w:rPr>
                <w:rFonts w:eastAsia="Calibri" w:cs="Calibri"/>
                <w:color w:val="000000"/>
              </w:rPr>
              <w:t xml:space="preserve">Caça, pesca e extrativismo predatórios. </w:t>
            </w:r>
          </w:p>
        </w:tc>
      </w:tr>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color w:val="000000"/>
              </w:rPr>
            </w:pPr>
            <w:r w:rsidRPr="00DC3586">
              <w:rPr>
                <w:rFonts w:eastAsia="Calibri" w:cs="Calibri"/>
                <w:b/>
                <w:color w:val="000000"/>
              </w:rPr>
              <w:t>Síntese do conflito</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jc w:val="both"/>
              <w:rPr>
                <w:rFonts w:eastAsia="Calibri" w:cs="Calibri"/>
                <w:color w:val="000000"/>
              </w:rPr>
            </w:pPr>
            <w:r>
              <w:rPr>
                <w:rFonts w:eastAsia="Calibri" w:cs="Calibri"/>
                <w:color w:val="000000"/>
              </w:rPr>
              <w:t xml:space="preserve">Por meio do movimento ambientalista, aflorado no Brasil na década de 1980, as áreas ambientalmente protegidas vêm se constituindo como importante instrumento de conservação da natureza. Porém, a criação dessas unidades pouco tem considerado as populações locais que habitam os territórios de interesse da conservação. A área de estudo contém três </w:t>
            </w:r>
            <w:proofErr w:type="spellStart"/>
            <w:r>
              <w:rPr>
                <w:rFonts w:eastAsia="Calibri" w:cs="Calibri"/>
                <w:color w:val="000000"/>
              </w:rPr>
              <w:t>UC’s</w:t>
            </w:r>
            <w:proofErr w:type="spellEnd"/>
            <w:r>
              <w:rPr>
                <w:rFonts w:eastAsia="Calibri" w:cs="Calibri"/>
                <w:color w:val="000000"/>
              </w:rPr>
              <w:t xml:space="preserve">, sendo duas de proteção integral que restringem as populações em exercer o seu modo de vida, principalmente no tocante a produção e extrativismo. </w:t>
            </w:r>
          </w:p>
        </w:tc>
      </w:tr>
      <w:tr w:rsidR="009C776E" w:rsidRPr="00DC3586" w:rsidTr="009C776E">
        <w:trPr>
          <w:trHeight w:val="3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color w:val="000000"/>
              </w:rPr>
            </w:pPr>
            <w:r w:rsidRPr="00DC3586">
              <w:rPr>
                <w:rFonts w:eastAsia="Calibri" w:cs="Calibri"/>
                <w:b/>
                <w:bCs/>
                <w:color w:val="000000"/>
              </w:rPr>
              <w:t>Referências</w:t>
            </w:r>
          </w:p>
        </w:tc>
        <w:tc>
          <w:tcPr>
            <w:tcW w:w="0" w:type="auto"/>
            <w:tcBorders>
              <w:top w:val="single" w:sz="4" w:space="0" w:color="auto"/>
              <w:bottom w:val="single" w:sz="4" w:space="0" w:color="auto"/>
            </w:tcBorders>
            <w:shd w:val="clear" w:color="auto" w:fill="auto"/>
            <w:vAlign w:val="center"/>
            <w:hideMark/>
          </w:tcPr>
          <w:p w:rsidR="009C776E" w:rsidRDefault="009C776E" w:rsidP="009C776E">
            <w:pPr>
              <w:spacing w:line="240" w:lineRule="auto"/>
              <w:jc w:val="both"/>
              <w:rPr>
                <w:rFonts w:eastAsia="Calibri"/>
                <w:color w:val="000000"/>
              </w:rPr>
            </w:pPr>
            <w:r>
              <w:rPr>
                <w:rFonts w:eastAsia="Calibri"/>
                <w:color w:val="000000"/>
              </w:rPr>
              <w:t>ARANTES, Ana Carolina. A Dinâmica Atual do Conflito entre Uso e</w:t>
            </w:r>
            <w:r w:rsidRPr="00116804">
              <w:rPr>
                <w:rFonts w:eastAsia="Calibri"/>
                <w:color w:val="000000"/>
              </w:rPr>
              <w:t xml:space="preserve"> Conservação </w:t>
            </w:r>
            <w:r>
              <w:rPr>
                <w:rFonts w:eastAsia="Calibri"/>
                <w:color w:val="000000"/>
              </w:rPr>
              <w:t>d</w:t>
            </w:r>
            <w:r w:rsidRPr="00116804">
              <w:rPr>
                <w:rFonts w:eastAsia="Calibri"/>
                <w:color w:val="000000"/>
              </w:rPr>
              <w:t xml:space="preserve">e </w:t>
            </w:r>
            <w:r>
              <w:rPr>
                <w:rFonts w:eastAsia="Calibri"/>
                <w:color w:val="000000"/>
              </w:rPr>
              <w:t>Re</w:t>
            </w:r>
            <w:r w:rsidRPr="00116804">
              <w:rPr>
                <w:rFonts w:eastAsia="Calibri"/>
                <w:color w:val="000000"/>
              </w:rPr>
              <w:t xml:space="preserve">cursos Pesqueiros </w:t>
            </w:r>
            <w:r>
              <w:rPr>
                <w:rFonts w:eastAsia="Calibri"/>
                <w:color w:val="000000"/>
              </w:rPr>
              <w:t>na Estação Ecológica d</w:t>
            </w:r>
            <w:r w:rsidRPr="00116804">
              <w:rPr>
                <w:rFonts w:eastAsia="Calibri"/>
                <w:color w:val="000000"/>
              </w:rPr>
              <w:t>e Guaraqueçaba, Paraná</w:t>
            </w:r>
            <w:r>
              <w:rPr>
                <w:rFonts w:eastAsia="Calibri"/>
                <w:color w:val="000000"/>
              </w:rPr>
              <w:t xml:space="preserve">. </w:t>
            </w:r>
            <w:r w:rsidRPr="00F83CF1">
              <w:rPr>
                <w:rFonts w:eastAsia="Calibri"/>
                <w:b/>
                <w:color w:val="000000"/>
              </w:rPr>
              <w:t>Dissertação de Mestrado</w:t>
            </w:r>
            <w:r>
              <w:rPr>
                <w:rFonts w:eastAsia="Calibri"/>
                <w:color w:val="000000"/>
              </w:rPr>
              <w:t xml:space="preserve"> em Meio Ambiente e</w:t>
            </w:r>
            <w:proofErr w:type="gramStart"/>
            <w:r>
              <w:rPr>
                <w:rFonts w:eastAsia="Calibri"/>
                <w:color w:val="000000"/>
              </w:rPr>
              <w:t xml:space="preserve">  </w:t>
            </w:r>
            <w:r w:rsidRPr="00116804">
              <w:rPr>
                <w:rFonts w:eastAsia="Calibri"/>
                <w:color w:val="000000"/>
              </w:rPr>
              <w:t xml:space="preserve"> </w:t>
            </w:r>
            <w:proofErr w:type="gramEnd"/>
            <w:r w:rsidRPr="00116804">
              <w:rPr>
                <w:rFonts w:eastAsia="Calibri"/>
                <w:color w:val="000000"/>
              </w:rPr>
              <w:t>De</w:t>
            </w:r>
            <w:r>
              <w:rPr>
                <w:rFonts w:eastAsia="Calibri"/>
                <w:color w:val="000000"/>
              </w:rPr>
              <w:t>senvolvimento, da Universidade Federal do Paraná, 2016.</w:t>
            </w:r>
          </w:p>
          <w:p w:rsidR="009C776E" w:rsidRDefault="009C776E" w:rsidP="009C776E">
            <w:pPr>
              <w:spacing w:line="240" w:lineRule="auto"/>
              <w:jc w:val="both"/>
              <w:rPr>
                <w:rFonts w:eastAsia="Calibri"/>
                <w:color w:val="000000"/>
              </w:rPr>
            </w:pPr>
          </w:p>
          <w:p w:rsidR="009C776E" w:rsidRPr="0057758D" w:rsidRDefault="009C776E" w:rsidP="009C776E">
            <w:pPr>
              <w:spacing w:line="240" w:lineRule="auto"/>
              <w:jc w:val="both"/>
              <w:rPr>
                <w:rFonts w:eastAsia="Calibri"/>
                <w:color w:val="000000"/>
              </w:rPr>
            </w:pPr>
            <w:r>
              <w:rPr>
                <w:rFonts w:eastAsia="Calibri"/>
                <w:color w:val="000000"/>
              </w:rPr>
              <w:t xml:space="preserve">CORNETTA, André. </w:t>
            </w:r>
            <w:r w:rsidRPr="00F83CF1">
              <w:rPr>
                <w:rFonts w:eastAsia="Calibri"/>
                <w:color w:val="000000"/>
              </w:rPr>
              <w:t>A Mata Atlântica Privada</w:t>
            </w:r>
            <w:r w:rsidRPr="00A8408E">
              <w:rPr>
                <w:rFonts w:eastAsia="Calibri"/>
                <w:b/>
                <w:color w:val="000000"/>
              </w:rPr>
              <w:t>:</w:t>
            </w:r>
            <w:r>
              <w:rPr>
                <w:rFonts w:eastAsia="Calibri"/>
                <w:color w:val="000000"/>
              </w:rPr>
              <w:t xml:space="preserve"> Conflitos Agrários na APA d</w:t>
            </w:r>
            <w:r w:rsidRPr="0057758D">
              <w:rPr>
                <w:rFonts w:eastAsia="Calibri"/>
                <w:color w:val="000000"/>
              </w:rPr>
              <w:t xml:space="preserve">e </w:t>
            </w:r>
          </w:p>
          <w:p w:rsidR="009C776E" w:rsidRDefault="009C776E" w:rsidP="009C776E">
            <w:pPr>
              <w:spacing w:line="240" w:lineRule="auto"/>
              <w:jc w:val="both"/>
              <w:rPr>
                <w:rFonts w:eastAsia="Calibri"/>
                <w:color w:val="000000"/>
              </w:rPr>
            </w:pPr>
            <w:r>
              <w:rPr>
                <w:rFonts w:eastAsia="Calibri"/>
                <w:color w:val="000000"/>
              </w:rPr>
              <w:t>Guaraqueçaba – PR.</w:t>
            </w:r>
            <w:r>
              <w:t xml:space="preserve"> </w:t>
            </w:r>
            <w:r w:rsidRPr="00F83CF1">
              <w:rPr>
                <w:b/>
              </w:rPr>
              <w:t>Anais.</w:t>
            </w:r>
            <w:r>
              <w:t xml:space="preserve"> </w:t>
            </w:r>
            <w:r w:rsidRPr="0057758D">
              <w:rPr>
                <w:rFonts w:eastAsia="Calibri"/>
                <w:color w:val="000000"/>
              </w:rPr>
              <w:t xml:space="preserve">III Simpósio Nacional de Geografia Agrária – II </w:t>
            </w:r>
            <w:r w:rsidRPr="0057758D">
              <w:rPr>
                <w:rFonts w:eastAsia="Calibri"/>
                <w:color w:val="000000"/>
              </w:rPr>
              <w:lastRenderedPageBreak/>
              <w:t>Simpósio Inte</w:t>
            </w:r>
            <w:r>
              <w:rPr>
                <w:rFonts w:eastAsia="Calibri"/>
                <w:color w:val="000000"/>
              </w:rPr>
              <w:t xml:space="preserve">rnacional de Geografia Agrária </w:t>
            </w:r>
            <w:r w:rsidRPr="0057758D">
              <w:rPr>
                <w:rFonts w:eastAsia="Calibri"/>
                <w:color w:val="000000"/>
              </w:rPr>
              <w:t>Jornada Ariovaldo Umbelino de Oliveira – Presiden</w:t>
            </w:r>
            <w:r>
              <w:rPr>
                <w:rFonts w:eastAsia="Calibri"/>
                <w:color w:val="000000"/>
              </w:rPr>
              <w:t xml:space="preserve">te Prudente- SP, </w:t>
            </w:r>
            <w:r w:rsidRPr="0057758D">
              <w:rPr>
                <w:rFonts w:eastAsia="Calibri"/>
                <w:color w:val="000000"/>
              </w:rPr>
              <w:t>2005</w:t>
            </w:r>
            <w:r>
              <w:rPr>
                <w:rFonts w:eastAsia="Calibri"/>
                <w:color w:val="000000"/>
              </w:rPr>
              <w:t>.</w:t>
            </w:r>
          </w:p>
          <w:p w:rsidR="009C776E" w:rsidRDefault="009C776E" w:rsidP="009C776E">
            <w:pPr>
              <w:spacing w:line="240" w:lineRule="auto"/>
              <w:jc w:val="both"/>
              <w:rPr>
                <w:rFonts w:eastAsia="Calibri"/>
                <w:color w:val="000000"/>
              </w:rPr>
            </w:pPr>
          </w:p>
          <w:p w:rsidR="009C776E" w:rsidRDefault="009C776E" w:rsidP="009C776E">
            <w:pPr>
              <w:spacing w:line="240" w:lineRule="auto"/>
              <w:jc w:val="both"/>
              <w:rPr>
                <w:rFonts w:eastAsia="Calibri"/>
                <w:color w:val="000000"/>
              </w:rPr>
            </w:pPr>
            <w:r>
              <w:rPr>
                <w:rFonts w:eastAsia="Calibri"/>
                <w:color w:val="000000"/>
              </w:rPr>
              <w:t xml:space="preserve">LOURENÇO, </w:t>
            </w:r>
            <w:proofErr w:type="gramStart"/>
            <w:r>
              <w:rPr>
                <w:rFonts w:eastAsia="Calibri"/>
                <w:i/>
                <w:color w:val="000000"/>
              </w:rPr>
              <w:t>et</w:t>
            </w:r>
            <w:proofErr w:type="gramEnd"/>
            <w:r>
              <w:rPr>
                <w:rFonts w:eastAsia="Calibri"/>
                <w:i/>
                <w:color w:val="000000"/>
              </w:rPr>
              <w:t xml:space="preserve"> al. </w:t>
            </w:r>
            <w:r>
              <w:rPr>
                <w:rFonts w:eastAsia="Calibri"/>
                <w:color w:val="000000"/>
              </w:rPr>
              <w:t>Uma Reflexão Sobre os Conflitos Socioambientais e</w:t>
            </w:r>
            <w:r w:rsidRPr="004C0E00">
              <w:rPr>
                <w:rFonts w:eastAsia="Calibri"/>
                <w:color w:val="000000"/>
              </w:rPr>
              <w:t xml:space="preserve">m Áreas </w:t>
            </w:r>
            <w:r>
              <w:rPr>
                <w:rFonts w:eastAsia="Calibri"/>
                <w:color w:val="000000"/>
              </w:rPr>
              <w:t xml:space="preserve">de Proteção Ambiental: O Caso de Guaraqueçaba-PR. </w:t>
            </w:r>
            <w:r w:rsidRPr="00F83CF1">
              <w:rPr>
                <w:rFonts w:eastAsia="Calibri"/>
                <w:b/>
                <w:color w:val="000000"/>
              </w:rPr>
              <w:t>Anais.</w:t>
            </w:r>
            <w:r>
              <w:rPr>
                <w:rFonts w:eastAsia="Calibri"/>
                <w:color w:val="000000"/>
              </w:rPr>
              <w:t xml:space="preserve"> XXI Encontro Nacional de Geografia Agrária, Uberlândia-MG, 2012.</w:t>
            </w:r>
          </w:p>
          <w:p w:rsidR="009C776E" w:rsidRPr="00116804" w:rsidRDefault="009C776E" w:rsidP="009C776E">
            <w:pPr>
              <w:spacing w:line="240" w:lineRule="auto"/>
              <w:jc w:val="both"/>
              <w:rPr>
                <w:rFonts w:eastAsia="Calibri"/>
                <w:color w:val="000000"/>
              </w:rPr>
            </w:pPr>
          </w:p>
          <w:p w:rsidR="009C776E" w:rsidRPr="006A2602" w:rsidRDefault="009C776E" w:rsidP="009C776E">
            <w:pPr>
              <w:spacing w:line="240" w:lineRule="auto"/>
              <w:jc w:val="both"/>
            </w:pPr>
            <w:r w:rsidRPr="00F72E68">
              <w:t xml:space="preserve">SCHWARTZMAN, Luiz Fernando Guimarães; SIBUYA, Nathalia de Jesus. </w:t>
            </w:r>
            <w:r w:rsidRPr="004570BA">
              <w:rPr>
                <w:b/>
              </w:rPr>
              <w:t xml:space="preserve">A dicotomia entre a conservação e a visibilidade das comunidades tradicionais: um estudo de caso na APA de Guaraqueçaba. </w:t>
            </w:r>
            <w:r w:rsidRPr="00F72E68">
              <w:t>2013. 94 f. TCC (Graduação) - Curso de Gestão Ambiental, Universidade Federal do Paraná, Matinhos, 2013.</w:t>
            </w:r>
          </w:p>
          <w:p w:rsidR="009C776E" w:rsidRPr="00F72E68" w:rsidRDefault="009C776E" w:rsidP="009C776E">
            <w:pPr>
              <w:spacing w:line="240" w:lineRule="auto"/>
              <w:jc w:val="both"/>
              <w:rPr>
                <w:rFonts w:eastAsia="Calibri"/>
                <w:color w:val="000000"/>
              </w:rPr>
            </w:pPr>
            <w:r w:rsidRPr="00D552BC">
              <w:rPr>
                <w:rFonts w:eastAsia="Calibri"/>
                <w:color w:val="000000"/>
              </w:rPr>
              <w:t>TEIXEIRA, C.; LIMONT, M. Os limites da participação da popul</w:t>
            </w:r>
            <w:r>
              <w:rPr>
                <w:rFonts w:eastAsia="Calibri"/>
                <w:color w:val="000000"/>
              </w:rPr>
              <w:t xml:space="preserve">ação local na gestão da APA de </w:t>
            </w:r>
            <w:r w:rsidRPr="00D552BC">
              <w:rPr>
                <w:rFonts w:eastAsia="Calibri"/>
                <w:color w:val="000000"/>
              </w:rPr>
              <w:t>Guaraqueçaba: a institucionalização de uma possibilidade e as co</w:t>
            </w:r>
            <w:r>
              <w:rPr>
                <w:rFonts w:eastAsia="Calibri"/>
                <w:color w:val="000000"/>
              </w:rPr>
              <w:t xml:space="preserve">ndições de seu aproveitamento. </w:t>
            </w:r>
            <w:r w:rsidRPr="00D552BC">
              <w:rPr>
                <w:rFonts w:eastAsia="Calibri"/>
                <w:color w:val="000000"/>
              </w:rPr>
              <w:t>In: Congresso Brasileiro de Soc</w:t>
            </w:r>
            <w:r>
              <w:rPr>
                <w:rFonts w:eastAsia="Calibri"/>
                <w:color w:val="000000"/>
              </w:rPr>
              <w:t xml:space="preserve">iologia. </w:t>
            </w:r>
            <w:r w:rsidRPr="00F83CF1">
              <w:rPr>
                <w:rFonts w:eastAsia="Calibri"/>
                <w:b/>
                <w:color w:val="000000"/>
              </w:rPr>
              <w:t>Anais</w:t>
            </w:r>
            <w:r>
              <w:rPr>
                <w:rFonts w:eastAsia="Calibri"/>
                <w:color w:val="000000"/>
              </w:rPr>
              <w:t>. 8. Recife-PE</w:t>
            </w:r>
            <w:r w:rsidRPr="00D552BC">
              <w:rPr>
                <w:rFonts w:eastAsia="Calibri"/>
                <w:color w:val="000000"/>
              </w:rPr>
              <w:t>, 2007.</w:t>
            </w:r>
          </w:p>
        </w:tc>
      </w:tr>
    </w:tbl>
    <w:p w:rsidR="009C776E" w:rsidRDefault="009C776E" w:rsidP="009C776E">
      <w:pPr>
        <w:shd w:val="clear" w:color="auto" w:fill="FFFFFF"/>
        <w:jc w:val="both"/>
        <w:rPr>
          <w:sz w:val="24"/>
          <w:szCs w:val="24"/>
        </w:rPr>
      </w:pPr>
    </w:p>
    <w:p w:rsidR="009C776E" w:rsidRPr="004E4B26" w:rsidRDefault="009C776E" w:rsidP="009C776E">
      <w:pPr>
        <w:shd w:val="clear" w:color="auto" w:fill="FFFFFF"/>
        <w:ind w:firstLine="708"/>
        <w:jc w:val="both"/>
        <w:rPr>
          <w:sz w:val="24"/>
          <w:szCs w:val="24"/>
        </w:rPr>
      </w:pPr>
      <w:r>
        <w:rPr>
          <w:sz w:val="24"/>
          <w:szCs w:val="24"/>
        </w:rPr>
        <w:t xml:space="preserve">Na concepção de </w:t>
      </w:r>
      <w:r w:rsidRPr="00A86302">
        <w:rPr>
          <w:sz w:val="24"/>
          <w:szCs w:val="24"/>
        </w:rPr>
        <w:t xml:space="preserve">Little (2001), </w:t>
      </w:r>
      <w:r>
        <w:rPr>
          <w:sz w:val="24"/>
          <w:szCs w:val="24"/>
        </w:rPr>
        <w:t>o</w:t>
      </w:r>
      <w:r w:rsidRPr="00A86302">
        <w:rPr>
          <w:sz w:val="24"/>
          <w:szCs w:val="24"/>
        </w:rPr>
        <w:t>s con</w:t>
      </w:r>
      <w:r>
        <w:rPr>
          <w:sz w:val="24"/>
          <w:szCs w:val="24"/>
        </w:rPr>
        <w:t>flitos socioambientais</w:t>
      </w:r>
      <w:r w:rsidRPr="00A86302">
        <w:rPr>
          <w:sz w:val="24"/>
          <w:szCs w:val="24"/>
        </w:rPr>
        <w:t xml:space="preserve"> ocorrem mediante embates entre grupos sociais, com modos diferentes de se inter-relacionar com o ambiente social e natural, por esse viés, os conflitos surgem das interações ecológicas entre os diferentes atores sociais e o meio biofísico. </w:t>
      </w:r>
      <w:r w:rsidRPr="00FD6556">
        <w:rPr>
          <w:color w:val="000000"/>
          <w:sz w:val="24"/>
          <w:szCs w:val="24"/>
        </w:rPr>
        <w:t>Segundo o autor, os conflitos em torno do controle dos recursos naturais, quando o homem define um uso para determinado elemento da natureza, têm três dimensões. A dimensão política está relacionada com a distribuição dos recursos; a dimensão social se refere a disputas sobre o acesso a recursos naturais; e a jurídica é a disputa formal pelo recurso</w:t>
      </w:r>
      <w:r w:rsidRPr="00847551">
        <w:rPr>
          <w:sz w:val="24"/>
          <w:szCs w:val="24"/>
        </w:rPr>
        <w:t xml:space="preserve"> </w:t>
      </w:r>
      <w:r>
        <w:rPr>
          <w:sz w:val="24"/>
          <w:szCs w:val="24"/>
        </w:rPr>
        <w:t>(</w:t>
      </w:r>
      <w:r w:rsidRPr="00A86302">
        <w:rPr>
          <w:sz w:val="24"/>
          <w:szCs w:val="24"/>
        </w:rPr>
        <w:t>LITTLE</w:t>
      </w:r>
      <w:r>
        <w:rPr>
          <w:sz w:val="24"/>
          <w:szCs w:val="24"/>
        </w:rPr>
        <w:t>, 2001)</w:t>
      </w:r>
      <w:r w:rsidRPr="00FD6556">
        <w:rPr>
          <w:color w:val="000000"/>
          <w:sz w:val="24"/>
          <w:szCs w:val="24"/>
        </w:rPr>
        <w:t>.</w:t>
      </w:r>
    </w:p>
    <w:p w:rsidR="009C776E" w:rsidRDefault="009C776E" w:rsidP="009C776E">
      <w:pPr>
        <w:shd w:val="clear" w:color="auto" w:fill="FFFFFF"/>
        <w:ind w:firstLine="709"/>
        <w:jc w:val="both"/>
        <w:rPr>
          <w:color w:val="000000"/>
          <w:sz w:val="24"/>
          <w:szCs w:val="24"/>
        </w:rPr>
      </w:pPr>
      <w:r>
        <w:rPr>
          <w:color w:val="000000"/>
          <w:sz w:val="24"/>
          <w:szCs w:val="24"/>
        </w:rPr>
        <w:t xml:space="preserve">Nessa perspectiva, dos conflitos socioambientais levantados na AE, e diretamente ligados às UC foco do presente estudo, dois estão em disputa formal pelo recurso, embora também apresentem viés político e social em suas gêneses. O primeiro diz respeito </w:t>
      </w:r>
      <w:proofErr w:type="gramStart"/>
      <w:r>
        <w:rPr>
          <w:color w:val="000000"/>
          <w:sz w:val="24"/>
          <w:szCs w:val="24"/>
        </w:rPr>
        <w:t>a</w:t>
      </w:r>
      <w:proofErr w:type="gramEnd"/>
      <w:r>
        <w:rPr>
          <w:color w:val="000000"/>
          <w:sz w:val="24"/>
          <w:szCs w:val="24"/>
        </w:rPr>
        <w:t xml:space="preserve"> sobreposição de territórios, entre a REBIO Bom Jesus e </w:t>
      </w:r>
      <w:r w:rsidRPr="008A7CE1">
        <w:rPr>
          <w:color w:val="000000"/>
          <w:sz w:val="24"/>
          <w:szCs w:val="24"/>
        </w:rPr>
        <w:t xml:space="preserve">Aldeia Indígena Guarani </w:t>
      </w:r>
      <w:proofErr w:type="spellStart"/>
      <w:r w:rsidRPr="008A7CE1">
        <w:rPr>
          <w:color w:val="000000"/>
          <w:sz w:val="24"/>
          <w:szCs w:val="24"/>
        </w:rPr>
        <w:t>Kuaray</w:t>
      </w:r>
      <w:proofErr w:type="spellEnd"/>
      <w:r w:rsidRPr="008A7CE1">
        <w:rPr>
          <w:color w:val="000000"/>
          <w:sz w:val="24"/>
          <w:szCs w:val="24"/>
        </w:rPr>
        <w:t xml:space="preserve"> </w:t>
      </w:r>
      <w:proofErr w:type="spellStart"/>
      <w:r w:rsidRPr="008A7CE1">
        <w:rPr>
          <w:color w:val="000000"/>
          <w:sz w:val="24"/>
          <w:szCs w:val="24"/>
        </w:rPr>
        <w:t>Haxa</w:t>
      </w:r>
      <w:proofErr w:type="spellEnd"/>
      <w:r>
        <w:rPr>
          <w:color w:val="000000"/>
          <w:sz w:val="24"/>
          <w:szCs w:val="24"/>
        </w:rPr>
        <w:t xml:space="preserve"> (Tabela 5), e o segundo, tem foco no reconhecimento dos pescadores artesanais no processo de elaboração do Plano de Manejo do Parque Nacional de </w:t>
      </w:r>
      <w:proofErr w:type="spellStart"/>
      <w:r>
        <w:rPr>
          <w:color w:val="000000"/>
          <w:sz w:val="24"/>
          <w:szCs w:val="24"/>
        </w:rPr>
        <w:t>Superagui</w:t>
      </w:r>
      <w:proofErr w:type="spellEnd"/>
      <w:r>
        <w:rPr>
          <w:color w:val="000000"/>
          <w:sz w:val="24"/>
          <w:szCs w:val="24"/>
        </w:rPr>
        <w:t xml:space="preserve"> (Tabela 6).</w:t>
      </w:r>
    </w:p>
    <w:p w:rsidR="009C776E" w:rsidRDefault="009C776E" w:rsidP="009C776E">
      <w:pPr>
        <w:rPr>
          <w:sz w:val="24"/>
          <w:szCs w:val="24"/>
        </w:rPr>
      </w:pPr>
    </w:p>
    <w:p w:rsidR="009C776E" w:rsidRPr="00D72911" w:rsidRDefault="009C776E" w:rsidP="009C776E">
      <w:pPr>
        <w:pStyle w:val="TtuloLegenda"/>
      </w:pPr>
      <w:r>
        <w:t xml:space="preserve">Tabela 5 – </w:t>
      </w:r>
      <w:r w:rsidRPr="005B29F2">
        <w:t>Aldei</w:t>
      </w:r>
      <w:r>
        <w:t xml:space="preserve">a Indígena Guarani </w:t>
      </w:r>
      <w:proofErr w:type="spellStart"/>
      <w:r>
        <w:t>Kuaray</w:t>
      </w:r>
      <w:proofErr w:type="spellEnd"/>
      <w:r>
        <w:t xml:space="preserve"> </w:t>
      </w:r>
      <w:proofErr w:type="spellStart"/>
      <w:r>
        <w:t>Haxa</w:t>
      </w:r>
      <w:proofErr w:type="spellEnd"/>
      <w:r>
        <w:t xml:space="preserve"> e REBIO Bom Jesus</w:t>
      </w:r>
    </w:p>
    <w:tbl>
      <w:tblPr>
        <w:tblW w:w="0" w:type="auto"/>
        <w:jc w:val="center"/>
        <w:tblBorders>
          <w:top w:val="single" w:sz="12" w:space="0" w:color="auto"/>
          <w:bottom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389"/>
        <w:gridCol w:w="7822"/>
      </w:tblGrid>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bCs/>
                <w:color w:val="000000"/>
              </w:rPr>
            </w:pPr>
            <w:r w:rsidRPr="00DC3586">
              <w:rPr>
                <w:rFonts w:eastAsia="Calibri" w:cs="Calibri"/>
                <w:b/>
                <w:bCs/>
                <w:color w:val="000000"/>
              </w:rPr>
              <w:t>População atingida</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pStyle w:val="TtuloLegenda"/>
              <w:jc w:val="left"/>
              <w:rPr>
                <w:rFonts w:cs="Calibri"/>
                <w:bCs/>
              </w:rPr>
            </w:pPr>
            <w:r w:rsidRPr="005B29F2">
              <w:rPr>
                <w:rFonts w:cs="Calibri"/>
                <w:bCs/>
              </w:rPr>
              <w:t>Indígenas</w:t>
            </w:r>
          </w:p>
        </w:tc>
      </w:tr>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color w:val="000000"/>
              </w:rPr>
            </w:pPr>
            <w:r>
              <w:rPr>
                <w:rFonts w:eastAsia="Calibri" w:cs="Calibri"/>
                <w:b/>
                <w:color w:val="000000"/>
              </w:rPr>
              <w:t>Comuni</w:t>
            </w:r>
            <w:r w:rsidRPr="00DC3586">
              <w:rPr>
                <w:rFonts w:eastAsia="Calibri" w:cs="Calibri"/>
                <w:b/>
                <w:color w:val="000000"/>
              </w:rPr>
              <w:t>dade</w:t>
            </w:r>
            <w:r>
              <w:rPr>
                <w:rFonts w:eastAsia="Calibri" w:cs="Calibri"/>
                <w:b/>
                <w:color w:val="000000"/>
              </w:rPr>
              <w:t xml:space="preserve"> (s)</w:t>
            </w:r>
          </w:p>
        </w:tc>
        <w:tc>
          <w:tcPr>
            <w:tcW w:w="0" w:type="auto"/>
            <w:tcBorders>
              <w:top w:val="single" w:sz="4" w:space="0" w:color="auto"/>
              <w:bottom w:val="single" w:sz="4" w:space="0" w:color="auto"/>
            </w:tcBorders>
            <w:shd w:val="clear" w:color="auto" w:fill="auto"/>
            <w:vAlign w:val="center"/>
            <w:hideMark/>
          </w:tcPr>
          <w:p w:rsidR="009C776E" w:rsidRPr="009D4F35" w:rsidRDefault="009C776E" w:rsidP="009C776E">
            <w:pPr>
              <w:spacing w:line="240" w:lineRule="auto"/>
              <w:rPr>
                <w:rFonts w:eastAsia="Calibri"/>
                <w:color w:val="000000"/>
              </w:rPr>
            </w:pPr>
            <w:r w:rsidRPr="009D4F35">
              <w:t xml:space="preserve">Aldeia Indígena Guarani </w:t>
            </w:r>
            <w:proofErr w:type="spellStart"/>
            <w:r w:rsidRPr="009D4F35">
              <w:t>Kuaray</w:t>
            </w:r>
            <w:proofErr w:type="spellEnd"/>
            <w:r w:rsidRPr="009D4F35">
              <w:t xml:space="preserve"> </w:t>
            </w:r>
            <w:proofErr w:type="spellStart"/>
            <w:r w:rsidRPr="009D4F35">
              <w:t>Haxa</w:t>
            </w:r>
            <w:proofErr w:type="spellEnd"/>
          </w:p>
        </w:tc>
      </w:tr>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tcPr>
          <w:p w:rsidR="009C776E" w:rsidRPr="00DC3586" w:rsidRDefault="009C776E" w:rsidP="009C776E">
            <w:pPr>
              <w:spacing w:line="240" w:lineRule="auto"/>
              <w:rPr>
                <w:rFonts w:eastAsia="Calibri" w:cs="Calibri"/>
                <w:b/>
                <w:color w:val="000000"/>
              </w:rPr>
            </w:pPr>
            <w:r>
              <w:rPr>
                <w:rFonts w:eastAsia="Calibri" w:cs="Calibri"/>
                <w:b/>
                <w:color w:val="000000"/>
              </w:rPr>
              <w:t>Tensões</w:t>
            </w:r>
          </w:p>
        </w:tc>
        <w:tc>
          <w:tcPr>
            <w:tcW w:w="0" w:type="auto"/>
            <w:tcBorders>
              <w:top w:val="single" w:sz="4" w:space="0" w:color="auto"/>
              <w:bottom w:val="single" w:sz="4" w:space="0" w:color="auto"/>
            </w:tcBorders>
            <w:shd w:val="clear" w:color="auto" w:fill="auto"/>
            <w:vAlign w:val="center"/>
          </w:tcPr>
          <w:p w:rsidR="009C776E" w:rsidRPr="009D4F35" w:rsidRDefault="009C776E" w:rsidP="009C776E">
            <w:pPr>
              <w:spacing w:line="240" w:lineRule="auto"/>
              <w:jc w:val="both"/>
              <w:rPr>
                <w:rFonts w:eastAsia="Calibri"/>
                <w:color w:val="000000"/>
              </w:rPr>
            </w:pPr>
            <w:r w:rsidRPr="000055D0">
              <w:rPr>
                <w:rFonts w:eastAsia="Calibri" w:cs="Calibri"/>
                <w:color w:val="000000"/>
              </w:rPr>
              <w:t>Alteração no regime tradicional de uso</w:t>
            </w:r>
            <w:r>
              <w:rPr>
                <w:rFonts w:eastAsia="Calibri" w:cs="Calibri"/>
                <w:color w:val="000000"/>
              </w:rPr>
              <w:t xml:space="preserve"> e ocupação do território; ausência</w:t>
            </w:r>
            <w:r w:rsidRPr="000055D0">
              <w:rPr>
                <w:rFonts w:eastAsia="Calibri" w:cs="Calibri"/>
                <w:color w:val="000000"/>
              </w:rPr>
              <w:t xml:space="preserve"> / irregularidade na demar</w:t>
            </w:r>
            <w:r>
              <w:rPr>
                <w:rFonts w:eastAsia="Calibri" w:cs="Calibri"/>
                <w:color w:val="000000"/>
              </w:rPr>
              <w:t>cação de território tradicional.</w:t>
            </w:r>
          </w:p>
        </w:tc>
      </w:tr>
      <w:tr w:rsidR="009C776E" w:rsidRPr="00DC3586" w:rsidTr="009C776E">
        <w:trPr>
          <w:trHeight w:val="600"/>
          <w:jc w:val="center"/>
        </w:trPr>
        <w:tc>
          <w:tcPr>
            <w:tcW w:w="0" w:type="auto"/>
            <w:tcBorders>
              <w:top w:val="single" w:sz="4" w:space="0" w:color="auto"/>
              <w:bottom w:val="single" w:sz="4" w:space="0" w:color="auto"/>
            </w:tcBorders>
            <w:vAlign w:val="center"/>
            <w:hideMark/>
          </w:tcPr>
          <w:p w:rsidR="009C776E" w:rsidRPr="00DC3586" w:rsidRDefault="009C776E" w:rsidP="009C776E">
            <w:pPr>
              <w:spacing w:line="240" w:lineRule="auto"/>
              <w:rPr>
                <w:rFonts w:eastAsia="Calibri" w:cs="Calibri"/>
                <w:b/>
                <w:color w:val="000000"/>
              </w:rPr>
            </w:pPr>
            <w:r>
              <w:rPr>
                <w:rFonts w:eastAsia="Calibri" w:cs="Calibri"/>
                <w:b/>
                <w:color w:val="000000"/>
              </w:rPr>
              <w:lastRenderedPageBreak/>
              <w:t>Impact</w:t>
            </w:r>
            <w:r w:rsidRPr="00DC3586">
              <w:rPr>
                <w:rFonts w:eastAsia="Calibri" w:cs="Calibri"/>
                <w:b/>
                <w:color w:val="000000"/>
              </w:rPr>
              <w:t>os ambientais</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jc w:val="both"/>
              <w:rPr>
                <w:rFonts w:eastAsia="Calibri" w:cs="Calibri"/>
                <w:color w:val="000000"/>
              </w:rPr>
            </w:pPr>
            <w:r w:rsidRPr="000055D0">
              <w:rPr>
                <w:rFonts w:eastAsia="Calibri" w:cs="Calibri"/>
                <w:color w:val="000000"/>
              </w:rPr>
              <w:t xml:space="preserve">Falta de saneamento básico; Invasão / </w:t>
            </w:r>
            <w:proofErr w:type="gramStart"/>
            <w:r w:rsidRPr="000055D0">
              <w:rPr>
                <w:rFonts w:eastAsia="Calibri" w:cs="Calibri"/>
                <w:color w:val="000000"/>
              </w:rPr>
              <w:t>dano</w:t>
            </w:r>
            <w:proofErr w:type="gramEnd"/>
            <w:r w:rsidRPr="000055D0">
              <w:rPr>
                <w:rFonts w:eastAsia="Calibri" w:cs="Calibri"/>
                <w:color w:val="000000"/>
              </w:rPr>
              <w:t xml:space="preserve"> a área protegida ou</w:t>
            </w:r>
            <w:r>
              <w:rPr>
                <w:rFonts w:eastAsia="Calibri" w:cs="Calibri"/>
                <w:color w:val="000000"/>
              </w:rPr>
              <w:t xml:space="preserve"> unidade de conservação; Extrativismo ilegal de palmito.</w:t>
            </w:r>
          </w:p>
        </w:tc>
      </w:tr>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color w:val="000000"/>
              </w:rPr>
            </w:pPr>
            <w:r w:rsidRPr="00DC3586">
              <w:rPr>
                <w:rFonts w:eastAsia="Calibri" w:cs="Calibri"/>
                <w:b/>
                <w:color w:val="000000"/>
              </w:rPr>
              <w:t>Síntese do conflito</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jc w:val="both"/>
              <w:rPr>
                <w:rFonts w:eastAsia="Calibri" w:cs="Calibri"/>
                <w:color w:val="000000"/>
              </w:rPr>
            </w:pPr>
            <w:r w:rsidRPr="003D26B8">
              <w:rPr>
                <w:rFonts w:eastAsia="Calibri" w:cs="Calibri"/>
                <w:color w:val="000000"/>
              </w:rPr>
              <w:t>Localizada às margens da PR-405,</w:t>
            </w:r>
            <w:r>
              <w:rPr>
                <w:rFonts w:eastAsia="Calibri" w:cs="Calibri"/>
                <w:color w:val="000000"/>
              </w:rPr>
              <w:t xml:space="preserve"> </w:t>
            </w:r>
            <w:r w:rsidRPr="003D26B8">
              <w:rPr>
                <w:rFonts w:eastAsia="Calibri" w:cs="Calibri"/>
                <w:color w:val="000000"/>
              </w:rPr>
              <w:t xml:space="preserve">A Aldeia Guarani </w:t>
            </w:r>
            <w:proofErr w:type="spellStart"/>
            <w:r w:rsidRPr="003D26B8">
              <w:rPr>
                <w:rFonts w:eastAsia="Calibri" w:cs="Calibri"/>
                <w:color w:val="000000"/>
              </w:rPr>
              <w:t>Kuaray</w:t>
            </w:r>
            <w:proofErr w:type="spellEnd"/>
            <w:r w:rsidRPr="003D26B8">
              <w:rPr>
                <w:rFonts w:eastAsia="Calibri" w:cs="Calibri"/>
                <w:color w:val="000000"/>
              </w:rPr>
              <w:t xml:space="preserve"> </w:t>
            </w:r>
            <w:proofErr w:type="spellStart"/>
            <w:r w:rsidRPr="003D26B8">
              <w:rPr>
                <w:rFonts w:eastAsia="Calibri" w:cs="Calibri"/>
                <w:color w:val="000000"/>
              </w:rPr>
              <w:t>Haxa</w:t>
            </w:r>
            <w:proofErr w:type="spellEnd"/>
            <w:r>
              <w:rPr>
                <w:rFonts w:eastAsia="Calibri" w:cs="Calibri"/>
                <w:color w:val="000000"/>
              </w:rPr>
              <w:t>,</w:t>
            </w:r>
            <w:r w:rsidRPr="003D26B8">
              <w:rPr>
                <w:rFonts w:eastAsia="Calibri" w:cs="Calibri"/>
                <w:color w:val="000000"/>
              </w:rPr>
              <w:t xml:space="preserve"> encontra-se na divisa dos municípios de A</w:t>
            </w:r>
            <w:r>
              <w:rPr>
                <w:rFonts w:eastAsia="Calibri" w:cs="Calibri"/>
                <w:color w:val="000000"/>
              </w:rPr>
              <w:t>ntonina e Guaraqueçaba. Os indí</w:t>
            </w:r>
            <w:r w:rsidRPr="003D26B8">
              <w:rPr>
                <w:rFonts w:eastAsia="Calibri" w:cs="Calibri"/>
                <w:color w:val="000000"/>
              </w:rPr>
              <w:t xml:space="preserve">genas da </w:t>
            </w:r>
            <w:proofErr w:type="spellStart"/>
            <w:r w:rsidRPr="003D26B8">
              <w:rPr>
                <w:rFonts w:eastAsia="Calibri" w:cs="Calibri"/>
                <w:color w:val="000000"/>
              </w:rPr>
              <w:t>Kuaray</w:t>
            </w:r>
            <w:proofErr w:type="spellEnd"/>
            <w:r w:rsidRPr="003D26B8">
              <w:rPr>
                <w:rFonts w:eastAsia="Calibri" w:cs="Calibri"/>
                <w:color w:val="000000"/>
              </w:rPr>
              <w:t xml:space="preserve"> </w:t>
            </w:r>
            <w:proofErr w:type="spellStart"/>
            <w:r w:rsidRPr="003D26B8">
              <w:rPr>
                <w:rFonts w:eastAsia="Calibri" w:cs="Calibri"/>
                <w:color w:val="000000"/>
              </w:rPr>
              <w:t>Haxa</w:t>
            </w:r>
            <w:proofErr w:type="spellEnd"/>
            <w:r w:rsidRPr="003D26B8">
              <w:rPr>
                <w:rFonts w:eastAsia="Calibri" w:cs="Calibri"/>
                <w:color w:val="000000"/>
              </w:rPr>
              <w:t xml:space="preserve"> são migrantes da</w:t>
            </w:r>
            <w:r>
              <w:rPr>
                <w:rFonts w:eastAsia="Calibri" w:cs="Calibri"/>
                <w:color w:val="000000"/>
              </w:rPr>
              <w:t xml:space="preserve"> Aldeia Palmeirinha (Terra Indí</w:t>
            </w:r>
            <w:r w:rsidRPr="003D26B8">
              <w:rPr>
                <w:rFonts w:eastAsia="Calibri" w:cs="Calibri"/>
                <w:color w:val="000000"/>
              </w:rPr>
              <w:t>gena Mangueirinha), no município de Mangueirinha, interior do Para</w:t>
            </w:r>
            <w:r>
              <w:rPr>
                <w:rFonts w:eastAsia="Calibri" w:cs="Calibri"/>
                <w:color w:val="000000"/>
              </w:rPr>
              <w:t xml:space="preserve">ná. Conforme informações da </w:t>
            </w:r>
            <w:r w:rsidRPr="003D26B8">
              <w:rPr>
                <w:rFonts w:eastAsia="Calibri" w:cs="Calibri"/>
                <w:color w:val="000000"/>
              </w:rPr>
              <w:t xml:space="preserve">Fundação Nacional do Índio </w:t>
            </w:r>
            <w:r>
              <w:rPr>
                <w:rFonts w:eastAsia="Calibri" w:cs="Calibri"/>
                <w:color w:val="000000"/>
              </w:rPr>
              <w:t>(FUNAI)</w:t>
            </w:r>
            <w:r w:rsidRPr="003D26B8">
              <w:rPr>
                <w:rFonts w:eastAsia="Calibri" w:cs="Calibri"/>
                <w:color w:val="000000"/>
              </w:rPr>
              <w:t xml:space="preserve">, o grupo deixou sua terra de origem em razão de conflitos com índios da etnia </w:t>
            </w:r>
            <w:proofErr w:type="spellStart"/>
            <w:r w:rsidRPr="003D26B8">
              <w:rPr>
                <w:rFonts w:eastAsia="Calibri" w:cs="Calibri"/>
                <w:color w:val="000000"/>
              </w:rPr>
              <w:t>Kaingang</w:t>
            </w:r>
            <w:proofErr w:type="spellEnd"/>
            <w:r w:rsidRPr="003D26B8">
              <w:rPr>
                <w:rFonts w:eastAsia="Calibri" w:cs="Calibri"/>
                <w:color w:val="000000"/>
              </w:rPr>
              <w:t xml:space="preserve"> que, juntamente com </w:t>
            </w:r>
            <w:proofErr w:type="gramStart"/>
            <w:r w:rsidRPr="003D26B8">
              <w:rPr>
                <w:rFonts w:eastAsia="Calibri" w:cs="Calibri"/>
                <w:color w:val="000000"/>
              </w:rPr>
              <w:t>os Guarani</w:t>
            </w:r>
            <w:proofErr w:type="gramEnd"/>
            <w:r w:rsidRPr="003D26B8">
              <w:rPr>
                <w:rFonts w:eastAsia="Calibri" w:cs="Calibri"/>
                <w:color w:val="000000"/>
              </w:rPr>
              <w:t xml:space="preserve">, ocupam a referida TI. Após terem abandonado a TI, este grupo tentou se estabelecer, sem sucesso, em outras terras indígenas, até se fixarem em definitivo na área </w:t>
            </w:r>
            <w:proofErr w:type="gramStart"/>
            <w:r w:rsidRPr="003D26B8">
              <w:rPr>
                <w:rFonts w:eastAsia="Calibri" w:cs="Calibri"/>
                <w:color w:val="000000"/>
              </w:rPr>
              <w:t>onde</w:t>
            </w:r>
            <w:proofErr w:type="gramEnd"/>
            <w:r w:rsidRPr="003D26B8">
              <w:rPr>
                <w:rFonts w:eastAsia="Calibri" w:cs="Calibri"/>
                <w:color w:val="000000"/>
              </w:rPr>
              <w:t xml:space="preserve"> veio a ser criada a REBIO Bom Jesus, em 2012, sobrepondo-se, portanto, a Aldeia Guarani </w:t>
            </w:r>
            <w:proofErr w:type="spellStart"/>
            <w:r w:rsidRPr="003D26B8">
              <w:rPr>
                <w:rFonts w:eastAsia="Calibri" w:cs="Calibri"/>
                <w:color w:val="000000"/>
              </w:rPr>
              <w:t>Kuaray</w:t>
            </w:r>
            <w:proofErr w:type="spellEnd"/>
            <w:r w:rsidRPr="003D26B8">
              <w:rPr>
                <w:rFonts w:eastAsia="Calibri" w:cs="Calibri"/>
                <w:color w:val="000000"/>
              </w:rPr>
              <w:t xml:space="preserve"> </w:t>
            </w:r>
            <w:proofErr w:type="spellStart"/>
            <w:r w:rsidRPr="003D26B8">
              <w:rPr>
                <w:rFonts w:eastAsia="Calibri" w:cs="Calibri"/>
                <w:color w:val="000000"/>
              </w:rPr>
              <w:t>Haxa</w:t>
            </w:r>
            <w:proofErr w:type="spellEnd"/>
            <w:r w:rsidRPr="003D26B8">
              <w:rPr>
                <w:rFonts w:eastAsia="Calibri" w:cs="Calibri"/>
                <w:color w:val="000000"/>
              </w:rPr>
              <w:t xml:space="preserve">. </w:t>
            </w:r>
            <w:proofErr w:type="gramStart"/>
            <w:r w:rsidRPr="003D26B8">
              <w:rPr>
                <w:rFonts w:eastAsia="Calibri" w:cs="Calibri"/>
                <w:color w:val="000000"/>
              </w:rPr>
              <w:t>Os Guarani afirmaram</w:t>
            </w:r>
            <w:proofErr w:type="gramEnd"/>
            <w:r w:rsidRPr="003D26B8">
              <w:rPr>
                <w:rFonts w:eastAsia="Calibri" w:cs="Calibri"/>
                <w:color w:val="000000"/>
              </w:rPr>
              <w:t xml:space="preserve"> que estavam nas terras antes de o Governo Federal decretar a criação da REBIO, que restringe a presença de comunidades no seu interior.</w:t>
            </w:r>
            <w:r>
              <w:t xml:space="preserve"> </w:t>
            </w:r>
            <w:r w:rsidRPr="003D26B8">
              <w:rPr>
                <w:rFonts w:eastAsia="Calibri" w:cs="Calibri"/>
                <w:color w:val="000000"/>
              </w:rPr>
              <w:t>Com o apoio do Ministério Público Federal (MPF) e da FUNAI</w:t>
            </w:r>
            <w:r>
              <w:rPr>
                <w:rFonts w:eastAsia="Calibri" w:cs="Calibri"/>
                <w:color w:val="000000"/>
              </w:rPr>
              <w:t>, os indígenas</w:t>
            </w:r>
            <w:r w:rsidRPr="003D26B8">
              <w:rPr>
                <w:rFonts w:eastAsia="Calibri" w:cs="Calibri"/>
                <w:color w:val="000000"/>
              </w:rPr>
              <w:t xml:space="preserve"> conseguiram que a Justiça Federal decidisse, em novembro de 2014, pela permanência da Aldeia </w:t>
            </w:r>
            <w:proofErr w:type="spellStart"/>
            <w:r w:rsidRPr="003D26B8">
              <w:rPr>
                <w:rFonts w:eastAsia="Calibri" w:cs="Calibri"/>
                <w:color w:val="000000"/>
              </w:rPr>
              <w:t>Kuaray</w:t>
            </w:r>
            <w:proofErr w:type="spellEnd"/>
            <w:r w:rsidRPr="003D26B8">
              <w:rPr>
                <w:rFonts w:eastAsia="Calibri" w:cs="Calibri"/>
                <w:color w:val="000000"/>
              </w:rPr>
              <w:t xml:space="preserve"> </w:t>
            </w:r>
            <w:proofErr w:type="spellStart"/>
            <w:r w:rsidRPr="003D26B8">
              <w:rPr>
                <w:rFonts w:eastAsia="Calibri" w:cs="Calibri"/>
                <w:color w:val="000000"/>
              </w:rPr>
              <w:t>Haxa</w:t>
            </w:r>
            <w:proofErr w:type="spellEnd"/>
            <w:r w:rsidRPr="003D26B8">
              <w:rPr>
                <w:rFonts w:eastAsia="Calibri" w:cs="Calibri"/>
                <w:color w:val="000000"/>
              </w:rPr>
              <w:t xml:space="preserve"> na área. Os desembargadores do Tribunal Regional Federal da 4ª Região (TRF4) reconheceram que a presença </w:t>
            </w:r>
            <w:r>
              <w:rPr>
                <w:rFonts w:eastAsia="Calibri" w:cs="Calibri"/>
                <w:color w:val="000000"/>
              </w:rPr>
              <w:t>da comunidade não traria prejuí</w:t>
            </w:r>
            <w:r w:rsidRPr="003D26B8">
              <w:rPr>
                <w:rFonts w:eastAsia="Calibri" w:cs="Calibri"/>
                <w:color w:val="000000"/>
              </w:rPr>
              <w:t>zo a UC. Porém, a comunidade ainda aguarda a sentença definitiva para ter a permanência garantida.</w:t>
            </w:r>
          </w:p>
        </w:tc>
      </w:tr>
      <w:tr w:rsidR="009C776E" w:rsidRPr="00DC3586" w:rsidTr="009C776E">
        <w:trPr>
          <w:trHeight w:val="3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color w:val="000000"/>
              </w:rPr>
            </w:pPr>
            <w:r w:rsidRPr="00DC3586">
              <w:rPr>
                <w:rFonts w:eastAsia="Calibri" w:cs="Calibri"/>
                <w:b/>
                <w:bCs/>
                <w:color w:val="000000"/>
              </w:rPr>
              <w:t>Referências</w:t>
            </w:r>
          </w:p>
        </w:tc>
        <w:tc>
          <w:tcPr>
            <w:tcW w:w="0" w:type="auto"/>
            <w:tcBorders>
              <w:top w:val="single" w:sz="4" w:space="0" w:color="auto"/>
              <w:bottom w:val="single" w:sz="4" w:space="0" w:color="auto"/>
            </w:tcBorders>
            <w:shd w:val="clear" w:color="auto" w:fill="auto"/>
            <w:vAlign w:val="center"/>
            <w:hideMark/>
          </w:tcPr>
          <w:p w:rsidR="009C776E" w:rsidRPr="009D3EEB" w:rsidRDefault="009C776E" w:rsidP="009C776E">
            <w:pPr>
              <w:spacing w:line="240" w:lineRule="auto"/>
              <w:jc w:val="both"/>
              <w:rPr>
                <w:rFonts w:eastAsia="Calibri" w:cs="Calibri"/>
                <w:color w:val="000000"/>
              </w:rPr>
            </w:pPr>
            <w:proofErr w:type="spellStart"/>
            <w:proofErr w:type="gramStart"/>
            <w:r>
              <w:rPr>
                <w:rFonts w:eastAsia="Calibri" w:cs="Calibri"/>
                <w:color w:val="000000"/>
              </w:rPr>
              <w:t>BRASIL.</w:t>
            </w:r>
            <w:proofErr w:type="gramEnd"/>
            <w:r w:rsidRPr="00357B00">
              <w:rPr>
                <w:rFonts w:eastAsia="Calibri" w:cs="Calibri"/>
                <w:b/>
                <w:color w:val="000000"/>
              </w:rPr>
              <w:t>Agravo</w:t>
            </w:r>
            <w:proofErr w:type="spellEnd"/>
            <w:r w:rsidRPr="00357B00">
              <w:rPr>
                <w:rFonts w:eastAsia="Calibri" w:cs="Calibri"/>
                <w:b/>
                <w:color w:val="000000"/>
              </w:rPr>
              <w:t xml:space="preserve"> de instrumento n. 50221158720144040000</w:t>
            </w:r>
            <w:r>
              <w:rPr>
                <w:rFonts w:eastAsia="Calibri" w:cs="Calibri"/>
                <w:color w:val="000000"/>
              </w:rPr>
              <w:t>. Ministério Pú</w:t>
            </w:r>
            <w:r w:rsidRPr="009D3EEB">
              <w:rPr>
                <w:rFonts w:eastAsia="Calibri" w:cs="Calibri"/>
                <w:color w:val="000000"/>
              </w:rPr>
              <w:t>blico Federal</w:t>
            </w:r>
            <w:r>
              <w:rPr>
                <w:rFonts w:eastAsia="Calibri" w:cs="Calibri"/>
                <w:color w:val="000000"/>
              </w:rPr>
              <w:t>, Procuradoria Regional da República da 4ª regiã</w:t>
            </w:r>
            <w:r w:rsidRPr="009D3EEB">
              <w:rPr>
                <w:rFonts w:eastAsia="Calibri" w:cs="Calibri"/>
                <w:color w:val="000000"/>
              </w:rPr>
              <w:t>o. Porto Alegre, 22 de outubro de 2014 (documento digitalizado).</w:t>
            </w:r>
          </w:p>
          <w:p w:rsidR="009C776E" w:rsidRDefault="009C776E" w:rsidP="009C776E">
            <w:pPr>
              <w:spacing w:line="240" w:lineRule="auto"/>
              <w:jc w:val="both"/>
              <w:rPr>
                <w:rFonts w:eastAsia="Calibri" w:cs="Calibri"/>
                <w:color w:val="000000"/>
              </w:rPr>
            </w:pPr>
            <w:r>
              <w:rPr>
                <w:rFonts w:eastAsia="Calibri" w:cs="Calibri"/>
                <w:color w:val="000000"/>
              </w:rPr>
              <w:t xml:space="preserve">BRASIL. </w:t>
            </w:r>
            <w:r w:rsidRPr="00357B00">
              <w:rPr>
                <w:rFonts w:eastAsia="Calibri" w:cs="Calibri"/>
                <w:b/>
                <w:color w:val="000000"/>
              </w:rPr>
              <w:t>Autos nº 5000189-75.2014.404.7008.</w:t>
            </w:r>
            <w:r>
              <w:rPr>
                <w:rFonts w:eastAsia="Calibri" w:cs="Calibri"/>
                <w:color w:val="000000"/>
              </w:rPr>
              <w:t xml:space="preserve"> Ministério Pú</w:t>
            </w:r>
            <w:r w:rsidRPr="009D3EEB">
              <w:rPr>
                <w:rFonts w:eastAsia="Calibri" w:cs="Calibri"/>
                <w:color w:val="000000"/>
              </w:rPr>
              <w:t>blic</w:t>
            </w:r>
            <w:r>
              <w:rPr>
                <w:rFonts w:eastAsia="Calibri" w:cs="Calibri"/>
                <w:color w:val="000000"/>
              </w:rPr>
              <w:t>o Federal, Procuradoria da República em Paranaguá - 6ª Câmara de Coordenação e Revisão. Paranaguá</w:t>
            </w:r>
            <w:r w:rsidRPr="009D3EEB">
              <w:rPr>
                <w:rFonts w:eastAsia="Calibri" w:cs="Calibri"/>
                <w:color w:val="000000"/>
              </w:rPr>
              <w:t>, 22 de setembro de 2014 (documento digitalizado).</w:t>
            </w:r>
          </w:p>
          <w:p w:rsidR="009C776E" w:rsidRDefault="009C776E" w:rsidP="009C776E">
            <w:pPr>
              <w:spacing w:line="240" w:lineRule="auto"/>
              <w:jc w:val="both"/>
              <w:rPr>
                <w:rFonts w:eastAsia="Calibri" w:cs="Calibri"/>
                <w:color w:val="000000"/>
              </w:rPr>
            </w:pPr>
            <w:r w:rsidRPr="00357B00">
              <w:rPr>
                <w:rFonts w:eastAsia="Calibri" w:cs="Calibri"/>
                <w:b/>
                <w:color w:val="000000"/>
              </w:rPr>
              <w:t>MAPA DE CONFLITOS ENVOLVENDO INJUSTIÇA AMBIENTAL E SAÚDE NO BRASIL.</w:t>
            </w:r>
            <w:r w:rsidRPr="00926012">
              <w:rPr>
                <w:rFonts w:eastAsia="Calibri" w:cs="Calibri"/>
                <w:color w:val="000000"/>
              </w:rPr>
              <w:t xml:space="preserve"> Disponível em </w:t>
            </w:r>
            <w:proofErr w:type="gramStart"/>
            <w:r w:rsidRPr="00926012">
              <w:rPr>
                <w:rFonts w:eastAsia="Calibri" w:cs="Calibri"/>
                <w:color w:val="000000"/>
              </w:rPr>
              <w:t>http://www.conflitoambiental.icict.fiocruz.br/index.</w:t>
            </w:r>
            <w:proofErr w:type="gramEnd"/>
            <w:r w:rsidRPr="00926012">
              <w:rPr>
                <w:rFonts w:eastAsia="Calibri" w:cs="Calibri"/>
                <w:color w:val="000000"/>
              </w:rPr>
              <w:t>php?</w:t>
            </w:r>
            <w:proofErr w:type="gramStart"/>
            <w:r w:rsidRPr="00926012">
              <w:rPr>
                <w:rFonts w:eastAsia="Calibri" w:cs="Calibri"/>
                <w:color w:val="000000"/>
              </w:rPr>
              <w:t>p</w:t>
            </w:r>
            <w:r>
              <w:rPr>
                <w:rFonts w:eastAsia="Calibri" w:cs="Calibri"/>
                <w:color w:val="000000"/>
              </w:rPr>
              <w:t>ag</w:t>
            </w:r>
            <w:proofErr w:type="gramEnd"/>
            <w:r>
              <w:rPr>
                <w:rFonts w:eastAsia="Calibri" w:cs="Calibri"/>
                <w:color w:val="000000"/>
              </w:rPr>
              <w:t xml:space="preserve">=ficha&amp;cod=38 Acesso em 09 out. </w:t>
            </w:r>
            <w:r w:rsidRPr="00926012">
              <w:rPr>
                <w:rFonts w:eastAsia="Calibri" w:cs="Calibri"/>
                <w:color w:val="000000"/>
              </w:rPr>
              <w:t>201</w:t>
            </w:r>
            <w:r>
              <w:rPr>
                <w:rFonts w:eastAsia="Calibri" w:cs="Calibri"/>
                <w:color w:val="000000"/>
              </w:rPr>
              <w:t>6</w:t>
            </w:r>
            <w:r w:rsidRPr="00926012">
              <w:rPr>
                <w:rFonts w:eastAsia="Calibri" w:cs="Calibri"/>
                <w:color w:val="000000"/>
              </w:rPr>
              <w:t>.</w:t>
            </w:r>
          </w:p>
          <w:p w:rsidR="009C776E" w:rsidRPr="005A414D" w:rsidRDefault="009C776E" w:rsidP="009C776E">
            <w:pPr>
              <w:spacing w:line="240" w:lineRule="auto"/>
              <w:jc w:val="both"/>
              <w:rPr>
                <w:rFonts w:eastAsia="Calibri" w:cs="Calibri"/>
                <w:color w:val="000000"/>
              </w:rPr>
            </w:pPr>
            <w:r w:rsidRPr="005A414D">
              <w:rPr>
                <w:rFonts w:eastAsia="Calibri" w:cs="Calibri"/>
                <w:color w:val="000000"/>
              </w:rPr>
              <w:t xml:space="preserve">ROCHA, Ana Carolina. </w:t>
            </w:r>
            <w:proofErr w:type="spellStart"/>
            <w:r w:rsidRPr="005A414D">
              <w:rPr>
                <w:rFonts w:eastAsia="Calibri" w:cs="Calibri"/>
                <w:color w:val="000000"/>
              </w:rPr>
              <w:t>Cercamentos</w:t>
            </w:r>
            <w:proofErr w:type="spellEnd"/>
            <w:r w:rsidRPr="005A414D">
              <w:rPr>
                <w:rFonts w:eastAsia="Calibri" w:cs="Calibri"/>
                <w:color w:val="000000"/>
              </w:rPr>
              <w:t xml:space="preserve"> ambientais: modos de uso dos recursos naturais e conflitos soci</w:t>
            </w:r>
            <w:r>
              <w:rPr>
                <w:rFonts w:eastAsia="Calibri" w:cs="Calibri"/>
                <w:color w:val="000000"/>
              </w:rPr>
              <w:t>oambientais no estado do Paraná</w:t>
            </w:r>
            <w:r w:rsidRPr="005A414D">
              <w:rPr>
                <w:rFonts w:eastAsia="Calibri" w:cs="Calibri"/>
                <w:color w:val="000000"/>
              </w:rPr>
              <w:t xml:space="preserve">. </w:t>
            </w:r>
            <w:r w:rsidRPr="00357B00">
              <w:rPr>
                <w:rFonts w:eastAsia="Calibri" w:cs="Calibri"/>
                <w:b/>
                <w:color w:val="000000"/>
              </w:rPr>
              <w:t xml:space="preserve">Anais </w:t>
            </w:r>
            <w:r w:rsidRPr="005A414D">
              <w:rPr>
                <w:rFonts w:eastAsia="Calibri" w:cs="Calibri"/>
                <w:color w:val="000000"/>
              </w:rPr>
              <w:t>do IV Encontro Nacional de Antropologia do Direi</w:t>
            </w:r>
            <w:r>
              <w:rPr>
                <w:rFonts w:eastAsia="Calibri" w:cs="Calibri"/>
                <w:color w:val="000000"/>
              </w:rPr>
              <w:t>to (ENADIR), Universidade de São Paulo. Sã</w:t>
            </w:r>
            <w:r w:rsidRPr="005A414D">
              <w:rPr>
                <w:rFonts w:eastAsia="Calibri" w:cs="Calibri"/>
                <w:color w:val="000000"/>
              </w:rPr>
              <w:t>o Paulo, 25 a 28 de agosto de 2015.</w:t>
            </w:r>
          </w:p>
          <w:p w:rsidR="009C776E" w:rsidRPr="005A414D" w:rsidRDefault="009C776E" w:rsidP="009C776E">
            <w:pPr>
              <w:spacing w:line="240" w:lineRule="auto"/>
              <w:jc w:val="both"/>
              <w:rPr>
                <w:rFonts w:eastAsia="Calibri" w:cs="Calibri"/>
                <w:color w:val="000000"/>
              </w:rPr>
            </w:pPr>
            <w:r w:rsidRPr="005A414D">
              <w:rPr>
                <w:rFonts w:eastAsia="Calibri" w:cs="Calibri"/>
                <w:color w:val="000000"/>
              </w:rPr>
              <w:t>SCHWARTZMAN, Luiz Fernando Gu</w:t>
            </w:r>
            <w:r>
              <w:rPr>
                <w:rFonts w:eastAsia="Calibri" w:cs="Calibri"/>
                <w:color w:val="000000"/>
              </w:rPr>
              <w:t>imarã</w:t>
            </w:r>
            <w:r w:rsidRPr="005A414D">
              <w:rPr>
                <w:rFonts w:eastAsia="Calibri" w:cs="Calibri"/>
                <w:color w:val="000000"/>
              </w:rPr>
              <w:t xml:space="preserve">es; SIBUYA, Nathalia de Jesus. </w:t>
            </w:r>
            <w:r>
              <w:rPr>
                <w:rFonts w:eastAsia="Calibri" w:cs="Calibri"/>
                <w:color w:val="000000"/>
              </w:rPr>
              <w:t>A Dicotomia entre a Conservaçã</w:t>
            </w:r>
            <w:r w:rsidRPr="005A414D">
              <w:rPr>
                <w:rFonts w:eastAsia="Calibri" w:cs="Calibri"/>
                <w:color w:val="000000"/>
              </w:rPr>
              <w:t>o e a visibilidade das Comunidades Tradicionais: um est</w:t>
            </w:r>
            <w:r>
              <w:rPr>
                <w:rFonts w:eastAsia="Calibri" w:cs="Calibri"/>
                <w:color w:val="000000"/>
              </w:rPr>
              <w:t>udo de caso na APA de Guaraqueç</w:t>
            </w:r>
            <w:r w:rsidRPr="005A414D">
              <w:rPr>
                <w:rFonts w:eastAsia="Calibri" w:cs="Calibri"/>
                <w:color w:val="000000"/>
              </w:rPr>
              <w:t xml:space="preserve">aba. 94p. </w:t>
            </w:r>
            <w:r w:rsidRPr="00357B00">
              <w:rPr>
                <w:rFonts w:eastAsia="Calibri" w:cs="Calibri"/>
                <w:b/>
                <w:color w:val="000000"/>
              </w:rPr>
              <w:t>Monografia</w:t>
            </w:r>
            <w:r>
              <w:rPr>
                <w:rFonts w:eastAsia="Calibri" w:cs="Calibri"/>
                <w:color w:val="000000"/>
              </w:rPr>
              <w:t xml:space="preserve"> (Bacharelado em Gestã</w:t>
            </w:r>
            <w:r w:rsidRPr="005A414D">
              <w:rPr>
                <w:rFonts w:eastAsia="Calibri" w:cs="Calibri"/>
                <w:color w:val="000000"/>
              </w:rPr>
              <w:t>o Ambiental) - Setor Litoral da Universidade Federal do P</w:t>
            </w:r>
            <w:r>
              <w:rPr>
                <w:rFonts w:eastAsia="Calibri" w:cs="Calibri"/>
                <w:color w:val="000000"/>
              </w:rPr>
              <w:t>araná</w:t>
            </w:r>
            <w:r w:rsidRPr="005A414D">
              <w:rPr>
                <w:rFonts w:eastAsia="Calibri" w:cs="Calibri"/>
                <w:color w:val="000000"/>
              </w:rPr>
              <w:t xml:space="preserve"> (UFPR). Matinhos (PR), 2013.</w:t>
            </w:r>
          </w:p>
          <w:p w:rsidR="009C776E" w:rsidRPr="00DC3586" w:rsidRDefault="009C776E" w:rsidP="009C776E">
            <w:pPr>
              <w:spacing w:line="240" w:lineRule="auto"/>
              <w:jc w:val="both"/>
              <w:rPr>
                <w:rFonts w:eastAsia="Calibri" w:cs="Calibri"/>
                <w:color w:val="000000"/>
              </w:rPr>
            </w:pPr>
            <w:r>
              <w:rPr>
                <w:rFonts w:eastAsia="Calibri" w:cs="Calibri"/>
                <w:color w:val="000000"/>
              </w:rPr>
              <w:t>SILVA, Luiz Rogé</w:t>
            </w:r>
            <w:r w:rsidRPr="005A414D">
              <w:rPr>
                <w:rFonts w:eastAsia="Calibri" w:cs="Calibri"/>
                <w:color w:val="000000"/>
              </w:rPr>
              <w:t xml:space="preserve">rio Oliveira </w:t>
            </w:r>
            <w:proofErr w:type="gramStart"/>
            <w:r w:rsidRPr="005A414D">
              <w:rPr>
                <w:rFonts w:eastAsia="Calibri" w:cs="Calibri"/>
                <w:color w:val="000000"/>
              </w:rPr>
              <w:t>da.</w:t>
            </w:r>
            <w:proofErr w:type="gramEnd"/>
            <w:r w:rsidRPr="005A414D">
              <w:rPr>
                <w:rFonts w:eastAsia="Calibri" w:cs="Calibri"/>
                <w:color w:val="000000"/>
              </w:rPr>
              <w:t xml:space="preserve"> Conflitos socioambientais n</w:t>
            </w:r>
            <w:r>
              <w:rPr>
                <w:rFonts w:eastAsia="Calibri" w:cs="Calibri"/>
                <w:color w:val="000000"/>
              </w:rPr>
              <w:t>o litoral paranaense: a relaçã</w:t>
            </w:r>
            <w:r w:rsidRPr="005A414D">
              <w:rPr>
                <w:rFonts w:eastAsia="Calibri" w:cs="Calibri"/>
                <w:color w:val="000000"/>
              </w:rPr>
              <w:t>o home</w:t>
            </w:r>
            <w:r>
              <w:rPr>
                <w:rFonts w:eastAsia="Calibri" w:cs="Calibri"/>
                <w:color w:val="000000"/>
              </w:rPr>
              <w:t>m e natureza no bioma Mata Atlâ</w:t>
            </w:r>
            <w:r w:rsidRPr="005A414D">
              <w:rPr>
                <w:rFonts w:eastAsia="Calibri" w:cs="Calibri"/>
                <w:color w:val="000000"/>
              </w:rPr>
              <w:t xml:space="preserve">ntica. </w:t>
            </w:r>
            <w:r w:rsidRPr="00357B00">
              <w:rPr>
                <w:rFonts w:eastAsia="Calibri" w:cs="Calibri"/>
                <w:b/>
                <w:color w:val="000000"/>
              </w:rPr>
              <w:t xml:space="preserve">Anais </w:t>
            </w:r>
            <w:r w:rsidRPr="005A414D">
              <w:rPr>
                <w:rFonts w:eastAsia="Calibri" w:cs="Calibri"/>
                <w:color w:val="000000"/>
              </w:rPr>
              <w:t>d</w:t>
            </w:r>
            <w:r>
              <w:rPr>
                <w:rFonts w:eastAsia="Calibri" w:cs="Calibri"/>
                <w:color w:val="000000"/>
              </w:rPr>
              <w:t>o XI Encontro Nacional de História Oral: Memória Democracia e Justiç</w:t>
            </w:r>
            <w:r w:rsidRPr="005A414D">
              <w:rPr>
                <w:rFonts w:eastAsia="Calibri" w:cs="Calibri"/>
                <w:color w:val="000000"/>
              </w:rPr>
              <w:t>a, S</w:t>
            </w:r>
            <w:r>
              <w:rPr>
                <w:rFonts w:eastAsia="Calibri" w:cs="Calibri"/>
                <w:color w:val="000000"/>
              </w:rPr>
              <w:t>impósio Temático Histó</w:t>
            </w:r>
            <w:r w:rsidRPr="005A414D">
              <w:rPr>
                <w:rFonts w:eastAsia="Calibri" w:cs="Calibri"/>
                <w:color w:val="000000"/>
              </w:rPr>
              <w:t>ria, Natureza, Cultura e Oralidade, UFRJ. Rio de Janeiro, 11 de julho de 2012.</w:t>
            </w:r>
          </w:p>
        </w:tc>
      </w:tr>
    </w:tbl>
    <w:p w:rsidR="009C776E" w:rsidRDefault="009C776E" w:rsidP="009C776E">
      <w:pPr>
        <w:rPr>
          <w:sz w:val="24"/>
          <w:szCs w:val="24"/>
        </w:rPr>
      </w:pPr>
    </w:p>
    <w:p w:rsidR="009C776E" w:rsidRPr="00D72911" w:rsidRDefault="009C776E" w:rsidP="009C776E">
      <w:pPr>
        <w:pStyle w:val="TtuloLegenda"/>
      </w:pPr>
      <w:r>
        <w:t xml:space="preserve">Tabela 6 – Plano de Manejo do PARNA do </w:t>
      </w:r>
      <w:proofErr w:type="spellStart"/>
      <w:r>
        <w:t>Superagui</w:t>
      </w:r>
      <w:proofErr w:type="spellEnd"/>
      <w:r>
        <w:t xml:space="preserve"> e</w:t>
      </w:r>
      <w:r w:rsidRPr="0005386B">
        <w:t xml:space="preserve"> Movimento dos Pescadores Artesanais do Paraná</w:t>
      </w:r>
      <w:proofErr w:type="gramStart"/>
      <w:r w:rsidRPr="0005386B">
        <w:t xml:space="preserve"> </w:t>
      </w:r>
      <w:r>
        <w:t xml:space="preserve"> </w:t>
      </w:r>
      <w:proofErr w:type="gramEnd"/>
      <w:r>
        <w:t>(MOPEAR)</w:t>
      </w:r>
    </w:p>
    <w:tbl>
      <w:tblPr>
        <w:tblW w:w="0" w:type="auto"/>
        <w:jc w:val="center"/>
        <w:tblBorders>
          <w:top w:val="single" w:sz="12" w:space="0" w:color="auto"/>
          <w:bottom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389"/>
        <w:gridCol w:w="7822"/>
      </w:tblGrid>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bCs/>
                <w:color w:val="000000"/>
              </w:rPr>
            </w:pPr>
            <w:r w:rsidRPr="00DC3586">
              <w:rPr>
                <w:rFonts w:eastAsia="Calibri" w:cs="Calibri"/>
                <w:b/>
                <w:bCs/>
                <w:color w:val="000000"/>
              </w:rPr>
              <w:t>População atingida</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pStyle w:val="TtuloLegenda"/>
              <w:rPr>
                <w:rFonts w:cs="Calibri"/>
                <w:bCs/>
              </w:rPr>
            </w:pPr>
            <w:r>
              <w:rPr>
                <w:rFonts w:cs="Calibri"/>
                <w:bCs/>
              </w:rPr>
              <w:t>Pescadores Artesanais</w:t>
            </w:r>
          </w:p>
        </w:tc>
      </w:tr>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color w:val="000000"/>
              </w:rPr>
            </w:pPr>
            <w:r>
              <w:rPr>
                <w:rFonts w:eastAsia="Calibri" w:cs="Calibri"/>
                <w:b/>
                <w:color w:val="000000"/>
              </w:rPr>
              <w:lastRenderedPageBreak/>
              <w:t>Comuni</w:t>
            </w:r>
            <w:r w:rsidRPr="00DC3586">
              <w:rPr>
                <w:rFonts w:eastAsia="Calibri" w:cs="Calibri"/>
                <w:b/>
                <w:color w:val="000000"/>
              </w:rPr>
              <w:t>dade</w:t>
            </w:r>
            <w:r>
              <w:rPr>
                <w:rFonts w:eastAsia="Calibri" w:cs="Calibri"/>
                <w:b/>
                <w:color w:val="000000"/>
              </w:rPr>
              <w:t xml:space="preserve"> (s)</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jc w:val="both"/>
              <w:rPr>
                <w:rFonts w:eastAsia="Calibri" w:cs="Calibri"/>
                <w:color w:val="000000"/>
              </w:rPr>
            </w:pPr>
            <w:r w:rsidRPr="00F81789">
              <w:rPr>
                <w:rFonts w:eastAsia="Calibri" w:cs="Calibri"/>
                <w:color w:val="000000"/>
              </w:rPr>
              <w:t>Saco do Morro, Bertioga,</w:t>
            </w:r>
            <w:r>
              <w:rPr>
                <w:rFonts w:eastAsia="Calibri" w:cs="Calibri"/>
                <w:color w:val="000000"/>
              </w:rPr>
              <w:t xml:space="preserve"> </w:t>
            </w:r>
            <w:proofErr w:type="spellStart"/>
            <w:r w:rsidRPr="00F81789">
              <w:rPr>
                <w:rFonts w:eastAsia="Calibri" w:cs="Calibri"/>
                <w:color w:val="000000"/>
              </w:rPr>
              <w:t>Sebuí</w:t>
            </w:r>
            <w:proofErr w:type="spellEnd"/>
            <w:r w:rsidRPr="00F81789">
              <w:rPr>
                <w:rFonts w:eastAsia="Calibri" w:cs="Calibri"/>
                <w:color w:val="000000"/>
              </w:rPr>
              <w:t xml:space="preserve">, </w:t>
            </w:r>
            <w:proofErr w:type="spellStart"/>
            <w:r w:rsidRPr="00F81789">
              <w:rPr>
                <w:rFonts w:eastAsia="Calibri" w:cs="Calibri"/>
                <w:color w:val="000000"/>
              </w:rPr>
              <w:t>Poruquara</w:t>
            </w:r>
            <w:proofErr w:type="spellEnd"/>
            <w:r w:rsidRPr="00F81789">
              <w:rPr>
                <w:rFonts w:eastAsia="Calibri" w:cs="Calibri"/>
                <w:color w:val="000000"/>
              </w:rPr>
              <w:t xml:space="preserve">, Barra do </w:t>
            </w:r>
            <w:proofErr w:type="spellStart"/>
            <w:r w:rsidRPr="00F81789">
              <w:rPr>
                <w:rFonts w:eastAsia="Calibri" w:cs="Calibri"/>
                <w:color w:val="000000"/>
              </w:rPr>
              <w:t>Superagui</w:t>
            </w:r>
            <w:proofErr w:type="spellEnd"/>
            <w:r w:rsidRPr="00F81789">
              <w:rPr>
                <w:rFonts w:eastAsia="Calibri" w:cs="Calibri"/>
                <w:color w:val="000000"/>
              </w:rPr>
              <w:t>, Vila das</w:t>
            </w:r>
            <w:r>
              <w:rPr>
                <w:rFonts w:eastAsia="Calibri" w:cs="Calibri"/>
                <w:color w:val="000000"/>
              </w:rPr>
              <w:t xml:space="preserve"> Peças, Medeiros, Vila Mariana, </w:t>
            </w:r>
            <w:proofErr w:type="spellStart"/>
            <w:r w:rsidRPr="00F81789">
              <w:rPr>
                <w:rFonts w:eastAsia="Calibri" w:cs="Calibri"/>
                <w:color w:val="000000"/>
              </w:rPr>
              <w:t>Taquanduva</w:t>
            </w:r>
            <w:proofErr w:type="spellEnd"/>
            <w:r w:rsidRPr="00F81789">
              <w:rPr>
                <w:rFonts w:eastAsia="Calibri" w:cs="Calibri"/>
                <w:color w:val="000000"/>
              </w:rPr>
              <w:t xml:space="preserve">, Almeida e Cerco </w:t>
            </w:r>
            <w:proofErr w:type="gramStart"/>
            <w:r w:rsidRPr="00F81789">
              <w:rPr>
                <w:rFonts w:eastAsia="Calibri" w:cs="Calibri"/>
                <w:color w:val="000000"/>
              </w:rPr>
              <w:t>Grande</w:t>
            </w:r>
            <w:proofErr w:type="gramEnd"/>
          </w:p>
        </w:tc>
      </w:tr>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tcPr>
          <w:p w:rsidR="009C776E" w:rsidRPr="00DC3586" w:rsidRDefault="009C776E" w:rsidP="009C776E">
            <w:pPr>
              <w:spacing w:line="240" w:lineRule="auto"/>
              <w:rPr>
                <w:rFonts w:eastAsia="Calibri" w:cs="Calibri"/>
                <w:b/>
                <w:color w:val="000000"/>
              </w:rPr>
            </w:pPr>
            <w:r>
              <w:rPr>
                <w:rFonts w:eastAsia="Calibri" w:cs="Calibri"/>
                <w:b/>
                <w:color w:val="000000"/>
              </w:rPr>
              <w:t>Tensões</w:t>
            </w:r>
          </w:p>
        </w:tc>
        <w:tc>
          <w:tcPr>
            <w:tcW w:w="0" w:type="auto"/>
            <w:tcBorders>
              <w:top w:val="single" w:sz="4" w:space="0" w:color="auto"/>
              <w:bottom w:val="single" w:sz="4" w:space="0" w:color="auto"/>
            </w:tcBorders>
            <w:shd w:val="clear" w:color="auto" w:fill="auto"/>
            <w:vAlign w:val="center"/>
          </w:tcPr>
          <w:p w:rsidR="009C776E" w:rsidRPr="00880182" w:rsidRDefault="009C776E" w:rsidP="009C776E">
            <w:pPr>
              <w:jc w:val="both"/>
              <w:rPr>
                <w:rFonts w:eastAsia="Calibri" w:cs="Calibri"/>
                <w:color w:val="000000"/>
              </w:rPr>
            </w:pPr>
            <w:r w:rsidRPr="00D04A68">
              <w:rPr>
                <w:rFonts w:eastAsia="Calibri" w:cs="Calibri"/>
                <w:color w:val="000000"/>
              </w:rPr>
              <w:t xml:space="preserve">A política de desenvolvimento sustentável, através do Parque Nacional do </w:t>
            </w:r>
            <w:proofErr w:type="spellStart"/>
            <w:r w:rsidRPr="00D04A68">
              <w:rPr>
                <w:rFonts w:eastAsia="Calibri" w:cs="Calibri"/>
                <w:color w:val="000000"/>
              </w:rPr>
              <w:t>Superagui</w:t>
            </w:r>
            <w:proofErr w:type="spellEnd"/>
            <w:r w:rsidRPr="00D04A68">
              <w:rPr>
                <w:rFonts w:eastAsia="Calibri" w:cs="Calibri"/>
                <w:color w:val="000000"/>
              </w:rPr>
              <w:t xml:space="preserve">, implica em proibições de uso dos recursos naturais. Ao mesmo tempo, a política de modernização da pesca e da aquicultura incentiva </w:t>
            </w:r>
            <w:proofErr w:type="gramStart"/>
            <w:r w:rsidRPr="00D04A68">
              <w:rPr>
                <w:rFonts w:eastAsia="Calibri" w:cs="Calibri"/>
                <w:color w:val="000000"/>
              </w:rPr>
              <w:t>a</w:t>
            </w:r>
            <w:proofErr w:type="gramEnd"/>
            <w:r w:rsidRPr="00D04A68">
              <w:rPr>
                <w:rFonts w:eastAsia="Calibri" w:cs="Calibri"/>
                <w:color w:val="000000"/>
              </w:rPr>
              <w:t xml:space="preserve"> pesca industrial, a incorporação de equipamentos modernos e estabelece áreas aquícolas para criação de ostras, camarões ou peixes. Em função desses desdobramentos que provocam endividamento, assalariamento e falta de autonomia, esta política gera a exclusão dos pescadores artesanais e os </w:t>
            </w:r>
            <w:r>
              <w:rPr>
                <w:rFonts w:eastAsia="Calibri" w:cs="Calibri"/>
                <w:color w:val="000000"/>
              </w:rPr>
              <w:t>priva do uso do seu território.</w:t>
            </w:r>
          </w:p>
        </w:tc>
      </w:tr>
      <w:tr w:rsidR="009C776E" w:rsidRPr="00DC3586" w:rsidTr="009C776E">
        <w:trPr>
          <w:trHeight w:val="600"/>
          <w:jc w:val="center"/>
        </w:trPr>
        <w:tc>
          <w:tcPr>
            <w:tcW w:w="0" w:type="auto"/>
            <w:tcBorders>
              <w:top w:val="single" w:sz="4" w:space="0" w:color="auto"/>
              <w:bottom w:val="single" w:sz="4" w:space="0" w:color="auto"/>
            </w:tcBorders>
            <w:vAlign w:val="center"/>
            <w:hideMark/>
          </w:tcPr>
          <w:p w:rsidR="009C776E" w:rsidRPr="00DC3586" w:rsidRDefault="009C776E" w:rsidP="009C776E">
            <w:pPr>
              <w:spacing w:line="240" w:lineRule="auto"/>
              <w:rPr>
                <w:rFonts w:eastAsia="Calibri" w:cs="Calibri"/>
                <w:b/>
                <w:color w:val="000000"/>
              </w:rPr>
            </w:pPr>
            <w:r>
              <w:rPr>
                <w:rFonts w:eastAsia="Calibri" w:cs="Calibri"/>
                <w:b/>
                <w:color w:val="000000"/>
              </w:rPr>
              <w:t>Impact</w:t>
            </w:r>
            <w:r w:rsidRPr="00DC3586">
              <w:rPr>
                <w:rFonts w:eastAsia="Calibri" w:cs="Calibri"/>
                <w:b/>
                <w:color w:val="000000"/>
              </w:rPr>
              <w:t>os ambientais</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jc w:val="both"/>
              <w:rPr>
                <w:rFonts w:eastAsia="Calibri" w:cs="Calibri"/>
                <w:color w:val="000000"/>
              </w:rPr>
            </w:pPr>
            <w:r w:rsidRPr="00962247">
              <w:rPr>
                <w:rFonts w:eastAsia="Calibri" w:cs="Calibri"/>
                <w:color w:val="000000"/>
              </w:rPr>
              <w:t>Pesca ou caça predatória</w:t>
            </w:r>
          </w:p>
        </w:tc>
      </w:tr>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color w:val="000000"/>
              </w:rPr>
            </w:pPr>
            <w:r w:rsidRPr="00DC3586">
              <w:rPr>
                <w:rFonts w:eastAsia="Calibri" w:cs="Calibri"/>
                <w:b/>
                <w:color w:val="000000"/>
              </w:rPr>
              <w:t>Síntese do conflito</w:t>
            </w:r>
          </w:p>
        </w:tc>
        <w:tc>
          <w:tcPr>
            <w:tcW w:w="0" w:type="auto"/>
            <w:tcBorders>
              <w:top w:val="single" w:sz="4" w:space="0" w:color="auto"/>
              <w:bottom w:val="single" w:sz="4" w:space="0" w:color="auto"/>
            </w:tcBorders>
            <w:shd w:val="clear" w:color="auto" w:fill="auto"/>
            <w:vAlign w:val="center"/>
            <w:hideMark/>
          </w:tcPr>
          <w:p w:rsidR="009C776E" w:rsidRPr="00D04A68" w:rsidRDefault="009C776E" w:rsidP="009C776E">
            <w:pPr>
              <w:jc w:val="both"/>
              <w:rPr>
                <w:rFonts w:eastAsia="Calibri" w:cs="Calibri"/>
                <w:color w:val="000000"/>
              </w:rPr>
            </w:pPr>
            <w:r>
              <w:rPr>
                <w:rFonts w:eastAsia="Calibri" w:cs="Calibri"/>
                <w:color w:val="000000"/>
              </w:rPr>
              <w:t xml:space="preserve">Em </w:t>
            </w:r>
            <w:r w:rsidRPr="00D04A68">
              <w:rPr>
                <w:rFonts w:eastAsia="Calibri" w:cs="Calibri"/>
                <w:color w:val="000000"/>
              </w:rPr>
              <w:t>dezembro de 2013, na co</w:t>
            </w:r>
            <w:r>
              <w:rPr>
                <w:rFonts w:eastAsia="Calibri" w:cs="Calibri"/>
                <w:color w:val="000000"/>
              </w:rPr>
              <w:t xml:space="preserve">munidade da Barra do </w:t>
            </w:r>
            <w:proofErr w:type="spellStart"/>
            <w:r>
              <w:rPr>
                <w:rFonts w:eastAsia="Calibri" w:cs="Calibri"/>
                <w:color w:val="000000"/>
              </w:rPr>
              <w:t>Superagui</w:t>
            </w:r>
            <w:proofErr w:type="spellEnd"/>
            <w:r>
              <w:rPr>
                <w:rFonts w:eastAsia="Calibri" w:cs="Calibri"/>
                <w:color w:val="000000"/>
              </w:rPr>
              <w:t xml:space="preserve">, o </w:t>
            </w:r>
            <w:r w:rsidRPr="00D04A68">
              <w:rPr>
                <w:rFonts w:eastAsia="Calibri" w:cs="Calibri"/>
                <w:color w:val="000000"/>
              </w:rPr>
              <w:t xml:space="preserve">MOPEAR </w:t>
            </w:r>
            <w:r>
              <w:rPr>
                <w:rFonts w:eastAsia="Calibri" w:cs="Calibri"/>
                <w:color w:val="000000"/>
              </w:rPr>
              <w:t xml:space="preserve">promoveu </w:t>
            </w:r>
            <w:r w:rsidRPr="00D04A68">
              <w:rPr>
                <w:rFonts w:eastAsia="Calibri" w:cs="Calibri"/>
                <w:color w:val="000000"/>
              </w:rPr>
              <w:t>audiência pública para tratar da política de criação de Unidades de Conservação de Proteção Integral. Estiveram presentes cerca de 200 pesso</w:t>
            </w:r>
            <w:r>
              <w:rPr>
                <w:rFonts w:eastAsia="Calibri" w:cs="Calibri"/>
                <w:color w:val="000000"/>
              </w:rPr>
              <w:t>as, entre pescadores artesanais e</w:t>
            </w:r>
            <w:r w:rsidRPr="00D04A68">
              <w:rPr>
                <w:rFonts w:eastAsia="Calibri" w:cs="Calibri"/>
                <w:color w:val="000000"/>
              </w:rPr>
              <w:t xml:space="preserve"> representantes </w:t>
            </w:r>
            <w:r>
              <w:rPr>
                <w:rFonts w:eastAsia="Calibri" w:cs="Calibri"/>
                <w:color w:val="000000"/>
              </w:rPr>
              <w:t xml:space="preserve">de instituições públicas federais e estaduais. </w:t>
            </w:r>
            <w:r w:rsidRPr="00D04A68">
              <w:rPr>
                <w:rFonts w:eastAsia="Calibri" w:cs="Calibri"/>
                <w:color w:val="000000"/>
              </w:rPr>
              <w:t xml:space="preserve">Dois dos fatores que desencadearam a Audiência foram: a cobrança pela elaboração do Plano de Manejo do Parque Nacional de </w:t>
            </w:r>
            <w:proofErr w:type="spellStart"/>
            <w:r w:rsidRPr="00D04A68">
              <w:rPr>
                <w:rFonts w:eastAsia="Calibri" w:cs="Calibri"/>
                <w:color w:val="000000"/>
              </w:rPr>
              <w:t>Superagui</w:t>
            </w:r>
            <w:proofErr w:type="spellEnd"/>
            <w:r w:rsidRPr="00D04A68">
              <w:rPr>
                <w:rFonts w:eastAsia="Calibri" w:cs="Calibri"/>
                <w:color w:val="000000"/>
              </w:rPr>
              <w:t xml:space="preserve"> com participação das comunidades e a recente criação por meio de lei federal do Parque Naci</w:t>
            </w:r>
            <w:r>
              <w:rPr>
                <w:rFonts w:eastAsia="Calibri" w:cs="Calibri"/>
                <w:color w:val="000000"/>
              </w:rPr>
              <w:t>onal Marinho da Ilha de Currais.</w:t>
            </w:r>
          </w:p>
          <w:p w:rsidR="009C776E" w:rsidRPr="00D04A68" w:rsidRDefault="009C776E" w:rsidP="009C776E">
            <w:pPr>
              <w:jc w:val="both"/>
              <w:rPr>
                <w:rFonts w:eastAsia="Calibri" w:cs="Calibri"/>
                <w:color w:val="000000"/>
              </w:rPr>
            </w:pPr>
            <w:r>
              <w:rPr>
                <w:rFonts w:eastAsia="Calibri" w:cs="Calibri"/>
                <w:color w:val="000000"/>
              </w:rPr>
              <w:t xml:space="preserve">Na audiência foi elaborada uma carta </w:t>
            </w:r>
            <w:r w:rsidRPr="00D04A68">
              <w:rPr>
                <w:rFonts w:eastAsia="Calibri" w:cs="Calibri"/>
                <w:color w:val="000000"/>
              </w:rPr>
              <w:t xml:space="preserve">que denunciava o </w:t>
            </w:r>
            <w:r>
              <w:rPr>
                <w:rFonts w:eastAsia="Calibri" w:cs="Calibri"/>
                <w:color w:val="000000"/>
              </w:rPr>
              <w:t>“</w:t>
            </w:r>
            <w:r w:rsidRPr="00D04A68">
              <w:rPr>
                <w:rFonts w:eastAsia="Calibri" w:cs="Calibri"/>
                <w:color w:val="000000"/>
              </w:rPr>
              <w:t>ocultamento</w:t>
            </w:r>
            <w:r>
              <w:rPr>
                <w:rFonts w:eastAsia="Calibri" w:cs="Calibri"/>
                <w:color w:val="000000"/>
              </w:rPr>
              <w:t>”</w:t>
            </w:r>
            <w:r w:rsidRPr="00D04A68">
              <w:rPr>
                <w:rFonts w:eastAsia="Calibri" w:cs="Calibri"/>
                <w:color w:val="000000"/>
              </w:rPr>
              <w:t xml:space="preserve"> dos efeitos do Parque Na</w:t>
            </w:r>
            <w:r>
              <w:rPr>
                <w:rFonts w:eastAsia="Calibri" w:cs="Calibri"/>
                <w:color w:val="000000"/>
              </w:rPr>
              <w:t xml:space="preserve">cional do </w:t>
            </w:r>
            <w:proofErr w:type="spellStart"/>
            <w:r>
              <w:rPr>
                <w:rFonts w:eastAsia="Calibri" w:cs="Calibri"/>
                <w:color w:val="000000"/>
              </w:rPr>
              <w:t>Superagui</w:t>
            </w:r>
            <w:proofErr w:type="spellEnd"/>
            <w:r>
              <w:rPr>
                <w:rFonts w:eastAsia="Calibri" w:cs="Calibri"/>
                <w:color w:val="000000"/>
              </w:rPr>
              <w:t xml:space="preserve"> sobre a </w:t>
            </w:r>
            <w:r w:rsidRPr="00D04A68">
              <w:rPr>
                <w:rFonts w:eastAsia="Calibri" w:cs="Calibri"/>
                <w:color w:val="000000"/>
              </w:rPr>
              <w:t>identidade étnica e territorial</w:t>
            </w:r>
            <w:r>
              <w:rPr>
                <w:rFonts w:eastAsia="Calibri" w:cs="Calibri"/>
                <w:color w:val="000000"/>
              </w:rPr>
              <w:t xml:space="preserve"> das populações</w:t>
            </w:r>
            <w:r w:rsidRPr="00D04A68">
              <w:rPr>
                <w:rFonts w:eastAsia="Calibri" w:cs="Calibri"/>
                <w:color w:val="000000"/>
              </w:rPr>
              <w:t xml:space="preserve"> nos estudos encomendados pelo </w:t>
            </w:r>
            <w:proofErr w:type="gramStart"/>
            <w:r w:rsidRPr="00D04A68">
              <w:rPr>
                <w:rFonts w:eastAsia="Calibri" w:cs="Calibri"/>
                <w:color w:val="000000"/>
              </w:rPr>
              <w:t>ICMBio</w:t>
            </w:r>
            <w:proofErr w:type="gramEnd"/>
            <w:r>
              <w:rPr>
                <w:rFonts w:eastAsia="Calibri" w:cs="Calibri"/>
                <w:color w:val="000000"/>
              </w:rPr>
              <w:t>,</w:t>
            </w:r>
            <w:r w:rsidRPr="00D04A68">
              <w:rPr>
                <w:rFonts w:eastAsia="Calibri" w:cs="Calibri"/>
                <w:color w:val="000000"/>
              </w:rPr>
              <w:t xml:space="preserve"> e contestados por parecer técnico </w:t>
            </w:r>
            <w:r>
              <w:rPr>
                <w:rFonts w:eastAsia="Calibri" w:cs="Calibri"/>
                <w:color w:val="000000"/>
              </w:rPr>
              <w:t>de pesquisadores independentes</w:t>
            </w:r>
            <w:r w:rsidRPr="00D04A68">
              <w:rPr>
                <w:rFonts w:eastAsia="Calibri" w:cs="Calibri"/>
                <w:color w:val="000000"/>
              </w:rPr>
              <w:t xml:space="preserve">. </w:t>
            </w:r>
            <w:r>
              <w:rPr>
                <w:rFonts w:eastAsia="Calibri" w:cs="Calibri"/>
                <w:color w:val="000000"/>
              </w:rPr>
              <w:t>E c</w:t>
            </w:r>
            <w:r w:rsidRPr="00D04A68">
              <w:rPr>
                <w:rFonts w:eastAsia="Calibri" w:cs="Calibri"/>
                <w:color w:val="000000"/>
              </w:rPr>
              <w:t>obrou a imediata aplicação do disposto na Convenção 169 da OIT, que determina a consulta aos povos e comunidades tradicionais interessados por meio de procedimentos adequados sempre que sejam previstas medidas legislativas ou administrativas suscetív</w:t>
            </w:r>
            <w:r>
              <w:rPr>
                <w:rFonts w:eastAsia="Calibri" w:cs="Calibri"/>
                <w:color w:val="000000"/>
              </w:rPr>
              <w:t>eis de afetá-las diretamente.</w:t>
            </w:r>
          </w:p>
          <w:p w:rsidR="009C776E" w:rsidRPr="00DC3586" w:rsidRDefault="009C776E" w:rsidP="009C776E">
            <w:pPr>
              <w:jc w:val="both"/>
              <w:rPr>
                <w:rFonts w:eastAsia="Calibri" w:cs="Calibri"/>
                <w:color w:val="000000"/>
              </w:rPr>
            </w:pPr>
            <w:r w:rsidRPr="00D04A68">
              <w:rPr>
                <w:rFonts w:eastAsia="Calibri" w:cs="Calibri"/>
                <w:color w:val="000000"/>
              </w:rPr>
              <w:t>Em maio de 201</w:t>
            </w:r>
            <w:r>
              <w:rPr>
                <w:rFonts w:eastAsia="Calibri" w:cs="Calibri"/>
                <w:color w:val="000000"/>
              </w:rPr>
              <w:t xml:space="preserve">5, </w:t>
            </w:r>
            <w:r w:rsidRPr="00D04A68">
              <w:rPr>
                <w:rFonts w:eastAsia="Calibri" w:cs="Calibri"/>
                <w:color w:val="000000"/>
              </w:rPr>
              <w:t xml:space="preserve">a partir de uma ação civil pública movida com o apoio </w:t>
            </w:r>
            <w:proofErr w:type="gramStart"/>
            <w:r w:rsidRPr="00D04A68">
              <w:rPr>
                <w:rFonts w:eastAsia="Calibri" w:cs="Calibri"/>
                <w:color w:val="000000"/>
              </w:rPr>
              <w:t>da Defensorias</w:t>
            </w:r>
            <w:proofErr w:type="gramEnd"/>
            <w:r w:rsidRPr="00D04A68">
              <w:rPr>
                <w:rFonts w:eastAsia="Calibri" w:cs="Calibri"/>
                <w:color w:val="000000"/>
              </w:rPr>
              <w:t xml:space="preserve"> Públicas do Estado (DPPR) e da União</w:t>
            </w:r>
            <w:r>
              <w:rPr>
                <w:rFonts w:eastAsia="Calibri" w:cs="Calibri"/>
                <w:color w:val="000000"/>
              </w:rPr>
              <w:t xml:space="preserve"> (DPU), uma decisão liminar da Justiça Federal </w:t>
            </w:r>
            <w:r w:rsidRPr="00D04A68">
              <w:rPr>
                <w:rFonts w:eastAsia="Calibri" w:cs="Calibri"/>
                <w:color w:val="000000"/>
              </w:rPr>
              <w:t xml:space="preserve">obrigou o ICMBio a disponibilizar às instituições e aos pescadores tradicionais os documentos e estudos do Plano de Manejo do Parque Nacional de </w:t>
            </w:r>
            <w:proofErr w:type="spellStart"/>
            <w:r w:rsidRPr="00D04A68">
              <w:rPr>
                <w:rFonts w:eastAsia="Calibri" w:cs="Calibri"/>
                <w:color w:val="000000"/>
              </w:rPr>
              <w:t>Superagui</w:t>
            </w:r>
            <w:proofErr w:type="spellEnd"/>
            <w:r w:rsidRPr="00D04A68">
              <w:rPr>
                <w:rFonts w:eastAsia="Calibri" w:cs="Calibri"/>
                <w:color w:val="000000"/>
              </w:rPr>
              <w:t xml:space="preserve"> e a garantir </w:t>
            </w:r>
            <w:r>
              <w:rPr>
                <w:rFonts w:eastAsia="Calibri" w:cs="Calibri"/>
                <w:color w:val="000000"/>
              </w:rPr>
              <w:t>a efetiva participação do MOPEAR</w:t>
            </w:r>
            <w:r w:rsidRPr="00D04A68">
              <w:rPr>
                <w:rFonts w:eastAsia="Calibri" w:cs="Calibri"/>
                <w:color w:val="000000"/>
              </w:rPr>
              <w:t xml:space="preserve"> na elaboração do referido Plano, bem como a observar as diretrizes da Convenção 169 da Organização Int</w:t>
            </w:r>
            <w:r>
              <w:rPr>
                <w:rFonts w:eastAsia="Calibri" w:cs="Calibri"/>
                <w:color w:val="000000"/>
              </w:rPr>
              <w:t xml:space="preserve">ernacional do Trabalho (OIT). </w:t>
            </w:r>
          </w:p>
        </w:tc>
      </w:tr>
      <w:tr w:rsidR="009C776E" w:rsidRPr="00DC3586" w:rsidTr="009C776E">
        <w:trPr>
          <w:trHeight w:val="3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color w:val="000000"/>
              </w:rPr>
            </w:pPr>
            <w:r w:rsidRPr="00DC3586">
              <w:rPr>
                <w:rFonts w:eastAsia="Calibri" w:cs="Calibri"/>
                <w:b/>
                <w:bCs/>
                <w:color w:val="000000"/>
              </w:rPr>
              <w:t>Referências</w:t>
            </w:r>
          </w:p>
        </w:tc>
        <w:tc>
          <w:tcPr>
            <w:tcW w:w="0" w:type="auto"/>
            <w:tcBorders>
              <w:top w:val="single" w:sz="4" w:space="0" w:color="auto"/>
              <w:bottom w:val="single" w:sz="4" w:space="0" w:color="auto"/>
            </w:tcBorders>
            <w:shd w:val="clear" w:color="auto" w:fill="auto"/>
            <w:vAlign w:val="center"/>
            <w:hideMark/>
          </w:tcPr>
          <w:p w:rsidR="009C776E" w:rsidRDefault="009C776E" w:rsidP="009C776E">
            <w:pPr>
              <w:spacing w:line="240" w:lineRule="auto"/>
              <w:jc w:val="both"/>
              <w:rPr>
                <w:rFonts w:eastAsia="Calibri" w:cs="Calibri"/>
                <w:color w:val="000000"/>
              </w:rPr>
            </w:pPr>
            <w:r w:rsidRPr="005776A4">
              <w:rPr>
                <w:rFonts w:eastAsia="Calibri" w:cs="Calibri"/>
                <w:color w:val="000000"/>
              </w:rPr>
              <w:t>AZEVEDO, Natália Tavares. Pescadores artesanais do Paraná avançam na luta pelos Territórios Pesqueiros. 10/12/2013. Disponível em: http://goo.gl/</w:t>
            </w:r>
            <w:r>
              <w:rPr>
                <w:rFonts w:eastAsia="Calibri" w:cs="Calibri"/>
                <w:color w:val="000000"/>
              </w:rPr>
              <w:t>xgKZM3. Acesso em: 08 out. 2016.</w:t>
            </w:r>
          </w:p>
          <w:p w:rsidR="009C776E" w:rsidRDefault="009C776E" w:rsidP="009C776E">
            <w:pPr>
              <w:spacing w:line="240" w:lineRule="auto"/>
              <w:jc w:val="both"/>
              <w:rPr>
                <w:rFonts w:eastAsia="Calibri" w:cs="Calibri"/>
                <w:color w:val="000000"/>
              </w:rPr>
            </w:pPr>
            <w:r w:rsidRPr="00741066">
              <w:rPr>
                <w:rFonts w:eastAsia="Calibri" w:cs="Calibri"/>
                <w:color w:val="000000"/>
              </w:rPr>
              <w:t>DEFENSORIA PÚBLICA DO ESTADO DO PARANÁ. DPPR e DPU ganham medida liminar a favor de comunidades tradicionais. 28 mai. 2015. Disponível em: http://</w:t>
            </w:r>
            <w:r>
              <w:rPr>
                <w:rFonts w:eastAsia="Calibri" w:cs="Calibri"/>
                <w:color w:val="000000"/>
              </w:rPr>
              <w:t>goo.gl/VQfBxW. Acesso em: 19 out</w:t>
            </w:r>
            <w:r w:rsidRPr="00741066">
              <w:rPr>
                <w:rFonts w:eastAsia="Calibri" w:cs="Calibri"/>
                <w:color w:val="000000"/>
              </w:rPr>
              <w:t>. 201</w:t>
            </w:r>
            <w:r>
              <w:rPr>
                <w:rFonts w:eastAsia="Calibri" w:cs="Calibri"/>
                <w:color w:val="000000"/>
              </w:rPr>
              <w:t>6</w:t>
            </w:r>
            <w:r w:rsidRPr="00741066">
              <w:rPr>
                <w:rFonts w:eastAsia="Calibri" w:cs="Calibri"/>
                <w:color w:val="000000"/>
              </w:rPr>
              <w:t>.</w:t>
            </w:r>
          </w:p>
          <w:p w:rsidR="009C776E" w:rsidRDefault="009C776E" w:rsidP="009C776E">
            <w:pPr>
              <w:spacing w:line="240" w:lineRule="auto"/>
              <w:jc w:val="both"/>
              <w:rPr>
                <w:rFonts w:eastAsia="Calibri" w:cs="Calibri"/>
                <w:color w:val="000000"/>
              </w:rPr>
            </w:pPr>
            <w:r>
              <w:rPr>
                <w:rFonts w:eastAsia="Calibri" w:cs="Calibri"/>
                <w:color w:val="000000"/>
              </w:rPr>
              <w:t xml:space="preserve">DUARTE, Letícia </w:t>
            </w:r>
            <w:proofErr w:type="spellStart"/>
            <w:r>
              <w:rPr>
                <w:rFonts w:eastAsia="Calibri" w:cs="Calibri"/>
                <w:color w:val="000000"/>
              </w:rPr>
              <w:t>Ayumi</w:t>
            </w:r>
            <w:proofErr w:type="spellEnd"/>
            <w:r w:rsidRPr="00FD39F1">
              <w:rPr>
                <w:rFonts w:eastAsia="Calibri" w:cs="Calibri"/>
                <w:color w:val="000000"/>
              </w:rPr>
              <w:t xml:space="preserve">. Argonautas do </w:t>
            </w:r>
            <w:proofErr w:type="spellStart"/>
            <w:r w:rsidRPr="00FD39F1">
              <w:rPr>
                <w:rFonts w:eastAsia="Calibri" w:cs="Calibri"/>
                <w:color w:val="000000"/>
              </w:rPr>
              <w:t>Superagui</w:t>
            </w:r>
            <w:proofErr w:type="spellEnd"/>
            <w:r w:rsidRPr="00FD39F1">
              <w:rPr>
                <w:rFonts w:eastAsia="Calibri" w:cs="Calibri"/>
                <w:color w:val="000000"/>
              </w:rPr>
              <w:t xml:space="preserve">: Identidade, Território e Conflito em um Parque Nacional Brasileiro. </w:t>
            </w:r>
            <w:r w:rsidRPr="006A2602">
              <w:rPr>
                <w:rFonts w:eastAsia="Calibri" w:cs="Calibri"/>
                <w:b/>
                <w:color w:val="000000"/>
              </w:rPr>
              <w:t>Dissertação</w:t>
            </w:r>
            <w:r w:rsidRPr="00FD39F1">
              <w:rPr>
                <w:rFonts w:eastAsia="Calibri" w:cs="Calibri"/>
                <w:color w:val="000000"/>
              </w:rPr>
              <w:t xml:space="preserve"> de mestrado apresentada ao Curso de Mestrado Profissional do Programa de Pós-Graduação em Planejamento Territorial e Desenvolvimento Socioambiental do Centro de Ciências Humanas e da Educação </w:t>
            </w:r>
            <w:r w:rsidRPr="00FD39F1">
              <w:rPr>
                <w:rFonts w:eastAsia="Calibri" w:cs="Calibri"/>
                <w:color w:val="000000"/>
              </w:rPr>
              <w:lastRenderedPageBreak/>
              <w:t>da Universidade do Estado de Santa Catarina. 2013.</w:t>
            </w:r>
          </w:p>
          <w:p w:rsidR="009C776E" w:rsidRPr="00DC3586" w:rsidRDefault="009C776E" w:rsidP="009C776E">
            <w:pPr>
              <w:spacing w:line="240" w:lineRule="auto"/>
              <w:jc w:val="both"/>
              <w:rPr>
                <w:rFonts w:eastAsia="Calibri" w:cs="Calibri"/>
                <w:color w:val="000000"/>
              </w:rPr>
            </w:pPr>
            <w:r w:rsidRPr="00926012">
              <w:rPr>
                <w:rFonts w:eastAsia="Calibri" w:cs="Calibri"/>
                <w:color w:val="000000"/>
              </w:rPr>
              <w:t xml:space="preserve">MAPA DE CONFLITOS ENVOLVENDO INJUSTIÇA AMBIENTAL E SAÚDE NO BRASIL. Disponível em </w:t>
            </w:r>
            <w:proofErr w:type="gramStart"/>
            <w:r w:rsidRPr="00926012">
              <w:rPr>
                <w:rFonts w:eastAsia="Calibri" w:cs="Calibri"/>
                <w:color w:val="000000"/>
              </w:rPr>
              <w:t>http://www.conflitoambiental.icict.fiocruz.br/index.</w:t>
            </w:r>
            <w:proofErr w:type="gramEnd"/>
            <w:r w:rsidRPr="00926012">
              <w:rPr>
                <w:rFonts w:eastAsia="Calibri" w:cs="Calibri"/>
                <w:color w:val="000000"/>
              </w:rPr>
              <w:t>ph</w:t>
            </w:r>
            <w:r>
              <w:rPr>
                <w:rFonts w:eastAsia="Calibri" w:cs="Calibri"/>
                <w:color w:val="000000"/>
              </w:rPr>
              <w:t>p?</w:t>
            </w:r>
            <w:proofErr w:type="gramStart"/>
            <w:r>
              <w:rPr>
                <w:rFonts w:eastAsia="Calibri" w:cs="Calibri"/>
                <w:color w:val="000000"/>
              </w:rPr>
              <w:t>pag</w:t>
            </w:r>
            <w:proofErr w:type="gramEnd"/>
            <w:r>
              <w:rPr>
                <w:rFonts w:eastAsia="Calibri" w:cs="Calibri"/>
                <w:color w:val="000000"/>
              </w:rPr>
              <w:t>=ficha&amp;cod=38 Acesso em 09 out. 2016.</w:t>
            </w:r>
          </w:p>
        </w:tc>
      </w:tr>
    </w:tbl>
    <w:p w:rsidR="009C776E" w:rsidRDefault="009C776E" w:rsidP="009C776E">
      <w:pPr>
        <w:pStyle w:val="TtuloLegenda"/>
        <w:jc w:val="left"/>
      </w:pPr>
    </w:p>
    <w:p w:rsidR="009C776E" w:rsidRDefault="009C776E" w:rsidP="009C776E">
      <w:pPr>
        <w:pStyle w:val="TtuloLegenda"/>
      </w:pPr>
    </w:p>
    <w:p w:rsidR="009C776E" w:rsidRDefault="009C776E" w:rsidP="009C776E">
      <w:pPr>
        <w:shd w:val="clear" w:color="auto" w:fill="FFFFFF"/>
        <w:ind w:firstLine="709"/>
        <w:jc w:val="both"/>
        <w:rPr>
          <w:color w:val="000000"/>
          <w:sz w:val="24"/>
          <w:szCs w:val="24"/>
        </w:rPr>
      </w:pPr>
      <w:r>
        <w:rPr>
          <w:color w:val="000000"/>
          <w:sz w:val="24"/>
          <w:szCs w:val="24"/>
        </w:rPr>
        <w:t>A legislação ambiental restringe o modo de vida da população local mesmo antes da promulgação do SNUC. O direito ambiental brasileiro, através do Código Florestal, já disciplinava o uso dos recursos naturais desde 1965; e ganha reforço com a Constituição Federal de 1988 e Lei de Crimes Ambientais uma década depois. Com todo esse arcabouço legal as comunidades da AE se veem obrigadas a abster-se de algumas de suas práticas tradicionais de produção, e buscar alternativas de sobrevivência que não os coloquem em desacordo com a lei.</w:t>
      </w:r>
    </w:p>
    <w:p w:rsidR="009C776E" w:rsidRDefault="009C776E" w:rsidP="009C776E">
      <w:pPr>
        <w:shd w:val="clear" w:color="auto" w:fill="FFFFFF"/>
        <w:ind w:firstLine="709"/>
        <w:jc w:val="both"/>
        <w:rPr>
          <w:color w:val="000000"/>
          <w:sz w:val="24"/>
          <w:szCs w:val="24"/>
        </w:rPr>
      </w:pPr>
      <w:r>
        <w:rPr>
          <w:color w:val="000000"/>
          <w:sz w:val="24"/>
          <w:szCs w:val="24"/>
        </w:rPr>
        <w:t xml:space="preserve">Paralelo ao cumprimento da legislação está </w:t>
      </w:r>
      <w:proofErr w:type="gramStart"/>
      <w:r>
        <w:rPr>
          <w:color w:val="000000"/>
          <w:sz w:val="24"/>
          <w:szCs w:val="24"/>
        </w:rPr>
        <w:t>a</w:t>
      </w:r>
      <w:proofErr w:type="gramEnd"/>
      <w:r>
        <w:rPr>
          <w:color w:val="000000"/>
          <w:sz w:val="24"/>
          <w:szCs w:val="24"/>
        </w:rPr>
        <w:t xml:space="preserve"> fiscalização ambiental, </w:t>
      </w:r>
      <w:r w:rsidRPr="00296F86">
        <w:rPr>
          <w:color w:val="000000"/>
          <w:sz w:val="24"/>
          <w:szCs w:val="24"/>
        </w:rPr>
        <w:t>um procedimento admi</w:t>
      </w:r>
      <w:r>
        <w:rPr>
          <w:color w:val="000000"/>
          <w:sz w:val="24"/>
          <w:szCs w:val="24"/>
        </w:rPr>
        <w:t xml:space="preserve">nistrativo adotado pelo Estado </w:t>
      </w:r>
      <w:r w:rsidRPr="00296F86">
        <w:rPr>
          <w:color w:val="000000"/>
          <w:sz w:val="24"/>
          <w:szCs w:val="24"/>
        </w:rPr>
        <w:t xml:space="preserve">para apuração de danos lesivos </w:t>
      </w:r>
      <w:r>
        <w:rPr>
          <w:color w:val="000000"/>
          <w:sz w:val="24"/>
          <w:szCs w:val="24"/>
        </w:rPr>
        <w:t>ao meio ambiente e para realização de</w:t>
      </w:r>
      <w:r w:rsidRPr="00296F86">
        <w:rPr>
          <w:color w:val="000000"/>
          <w:sz w:val="24"/>
          <w:szCs w:val="24"/>
        </w:rPr>
        <w:t xml:space="preserve"> investigações ambientais baseada em ações preventivas e repressivas.</w:t>
      </w:r>
      <w:r>
        <w:rPr>
          <w:color w:val="000000"/>
          <w:sz w:val="24"/>
          <w:szCs w:val="24"/>
        </w:rPr>
        <w:t xml:space="preserve"> No Paraná, a instituição responsável por esse procedimento é a Polícia Ambiental</w:t>
      </w:r>
      <w:r>
        <w:rPr>
          <w:rStyle w:val="Refdenotaderodap"/>
          <w:color w:val="000000"/>
          <w:sz w:val="24"/>
          <w:szCs w:val="24"/>
        </w:rPr>
        <w:footnoteReference w:id="4"/>
      </w:r>
      <w:r>
        <w:rPr>
          <w:color w:val="000000"/>
          <w:sz w:val="24"/>
          <w:szCs w:val="24"/>
        </w:rPr>
        <w:t xml:space="preserve">, também conhecida como Força Verde. </w:t>
      </w:r>
    </w:p>
    <w:p w:rsidR="009C776E" w:rsidRPr="009E63F8" w:rsidRDefault="009C776E" w:rsidP="009C776E">
      <w:pPr>
        <w:shd w:val="clear" w:color="auto" w:fill="FFFFFF"/>
        <w:ind w:firstLine="709"/>
        <w:jc w:val="both"/>
        <w:rPr>
          <w:color w:val="000000"/>
          <w:sz w:val="24"/>
          <w:szCs w:val="24"/>
        </w:rPr>
      </w:pPr>
      <w:r>
        <w:rPr>
          <w:color w:val="000000"/>
          <w:sz w:val="24"/>
          <w:szCs w:val="24"/>
        </w:rPr>
        <w:t xml:space="preserve">Dentre </w:t>
      </w:r>
      <w:r w:rsidRPr="009E63F8">
        <w:rPr>
          <w:color w:val="000000"/>
          <w:sz w:val="24"/>
          <w:szCs w:val="24"/>
        </w:rPr>
        <w:t>as inúmeras atribuições</w:t>
      </w:r>
      <w:r>
        <w:rPr>
          <w:rStyle w:val="Refdenotaderodap"/>
          <w:color w:val="000000"/>
          <w:sz w:val="24"/>
          <w:szCs w:val="24"/>
        </w:rPr>
        <w:footnoteReference w:id="5"/>
      </w:r>
      <w:r>
        <w:rPr>
          <w:color w:val="000000"/>
          <w:sz w:val="24"/>
          <w:szCs w:val="24"/>
        </w:rPr>
        <w:t xml:space="preserve"> da Polícia Ambiental</w:t>
      </w:r>
      <w:r w:rsidRPr="009E63F8">
        <w:rPr>
          <w:color w:val="000000"/>
          <w:sz w:val="24"/>
          <w:szCs w:val="24"/>
        </w:rPr>
        <w:t>, originárias ou decorrentes de convênios, destacam­-se:</w:t>
      </w:r>
    </w:p>
    <w:p w:rsidR="009C776E" w:rsidRPr="009E63F8" w:rsidRDefault="009C776E" w:rsidP="009C776E">
      <w:pPr>
        <w:shd w:val="clear" w:color="auto" w:fill="FFFFFF"/>
        <w:ind w:firstLine="708"/>
        <w:jc w:val="both"/>
        <w:rPr>
          <w:color w:val="000000"/>
          <w:sz w:val="24"/>
          <w:szCs w:val="24"/>
        </w:rPr>
      </w:pPr>
      <w:r>
        <w:rPr>
          <w:color w:val="000000"/>
          <w:sz w:val="24"/>
          <w:szCs w:val="24"/>
        </w:rPr>
        <w:t xml:space="preserve">- </w:t>
      </w:r>
      <w:r w:rsidRPr="009E63F8">
        <w:rPr>
          <w:color w:val="000000"/>
          <w:sz w:val="24"/>
          <w:szCs w:val="24"/>
        </w:rPr>
        <w:t>Executar o policiamento ostensivo de forma preventiva ou repressiva, com a finalidade de coibir e dissuadir ações que representem ameaças ou depredações da natureza;</w:t>
      </w:r>
    </w:p>
    <w:p w:rsidR="009C776E" w:rsidRPr="009E63F8" w:rsidRDefault="009C776E" w:rsidP="009C776E">
      <w:pPr>
        <w:shd w:val="clear" w:color="auto" w:fill="FFFFFF"/>
        <w:ind w:firstLine="708"/>
        <w:jc w:val="both"/>
        <w:rPr>
          <w:color w:val="000000"/>
          <w:sz w:val="24"/>
          <w:szCs w:val="24"/>
        </w:rPr>
      </w:pPr>
      <w:r>
        <w:rPr>
          <w:color w:val="000000"/>
          <w:sz w:val="24"/>
          <w:szCs w:val="24"/>
        </w:rPr>
        <w:t xml:space="preserve">- </w:t>
      </w:r>
      <w:r w:rsidRPr="009E63F8">
        <w:rPr>
          <w:color w:val="000000"/>
          <w:sz w:val="24"/>
          <w:szCs w:val="24"/>
        </w:rPr>
        <w:t>Zelar pelo cumprimento da legislação ambiental de defesa da flora e fauna silvestre observando os dispositivos das Leis Federais e Estaduais, bem como as Portarias e Resoluções em vigor;</w:t>
      </w:r>
    </w:p>
    <w:p w:rsidR="009C776E" w:rsidRPr="009E63F8" w:rsidRDefault="009C776E" w:rsidP="009C776E">
      <w:pPr>
        <w:shd w:val="clear" w:color="auto" w:fill="FFFFFF"/>
        <w:ind w:firstLine="708"/>
        <w:jc w:val="both"/>
        <w:rPr>
          <w:color w:val="000000"/>
          <w:sz w:val="24"/>
          <w:szCs w:val="24"/>
        </w:rPr>
      </w:pPr>
      <w:r>
        <w:rPr>
          <w:color w:val="000000"/>
          <w:sz w:val="24"/>
          <w:szCs w:val="24"/>
        </w:rPr>
        <w:t xml:space="preserve">- </w:t>
      </w:r>
      <w:r w:rsidRPr="009E63F8">
        <w:rPr>
          <w:color w:val="000000"/>
          <w:sz w:val="24"/>
          <w:szCs w:val="24"/>
        </w:rPr>
        <w:t>Autuar os infratores ambientais, instrumentalizando, ainda, o Ministério Público nas ações civis de recuperação dos danos provocados contra a natureza;</w:t>
      </w:r>
    </w:p>
    <w:p w:rsidR="009C776E" w:rsidRPr="009E63F8" w:rsidRDefault="009C776E" w:rsidP="009C776E">
      <w:pPr>
        <w:shd w:val="clear" w:color="auto" w:fill="FFFFFF"/>
        <w:ind w:firstLine="708"/>
        <w:jc w:val="both"/>
        <w:rPr>
          <w:color w:val="000000"/>
          <w:sz w:val="24"/>
          <w:szCs w:val="24"/>
        </w:rPr>
      </w:pPr>
      <w:r>
        <w:rPr>
          <w:color w:val="000000"/>
          <w:sz w:val="24"/>
          <w:szCs w:val="24"/>
        </w:rPr>
        <w:t xml:space="preserve">- </w:t>
      </w:r>
      <w:r w:rsidRPr="009E63F8">
        <w:rPr>
          <w:color w:val="000000"/>
          <w:sz w:val="24"/>
          <w:szCs w:val="24"/>
        </w:rPr>
        <w:t>Realizar prisões de infratores, que sejam flagrados no cometimento de crimes ambientais e encaminha-los a presença da autoridade policial, para a lavratura do auto de prisão em flagrante delito e ou inquérito policial, bem como prestar as devidas informações que, posteriormente, se façam necessárias;</w:t>
      </w:r>
    </w:p>
    <w:p w:rsidR="009C776E" w:rsidRPr="009E63F8" w:rsidRDefault="009C776E" w:rsidP="009C776E">
      <w:pPr>
        <w:shd w:val="clear" w:color="auto" w:fill="FFFFFF"/>
        <w:ind w:firstLine="708"/>
        <w:jc w:val="both"/>
        <w:rPr>
          <w:color w:val="000000"/>
          <w:sz w:val="24"/>
          <w:szCs w:val="24"/>
        </w:rPr>
      </w:pPr>
      <w:r>
        <w:rPr>
          <w:color w:val="000000"/>
          <w:sz w:val="24"/>
          <w:szCs w:val="24"/>
        </w:rPr>
        <w:lastRenderedPageBreak/>
        <w:t xml:space="preserve">- </w:t>
      </w:r>
      <w:r w:rsidRPr="009E63F8">
        <w:rPr>
          <w:color w:val="000000"/>
          <w:sz w:val="24"/>
          <w:szCs w:val="24"/>
        </w:rPr>
        <w:t>Orientar a população acerca da legislação ambiental e da importância do seu cumprimento, relacionando-a com a necessidade de criação, conservação e proteção das Unidades de Conservação.</w:t>
      </w:r>
    </w:p>
    <w:p w:rsidR="009C776E" w:rsidRDefault="009C776E" w:rsidP="009C776E">
      <w:pPr>
        <w:shd w:val="clear" w:color="auto" w:fill="FFFFFF"/>
        <w:ind w:firstLine="709"/>
        <w:jc w:val="both"/>
        <w:rPr>
          <w:color w:val="000000"/>
          <w:sz w:val="24"/>
          <w:szCs w:val="24"/>
        </w:rPr>
      </w:pPr>
      <w:r>
        <w:rPr>
          <w:color w:val="000000"/>
          <w:sz w:val="24"/>
          <w:szCs w:val="24"/>
        </w:rPr>
        <w:t xml:space="preserve">Embora a repressão </w:t>
      </w:r>
      <w:proofErr w:type="gramStart"/>
      <w:r>
        <w:rPr>
          <w:color w:val="000000"/>
          <w:sz w:val="24"/>
          <w:szCs w:val="24"/>
        </w:rPr>
        <w:t>as</w:t>
      </w:r>
      <w:proofErr w:type="gramEnd"/>
      <w:r>
        <w:rPr>
          <w:color w:val="000000"/>
          <w:sz w:val="24"/>
          <w:szCs w:val="24"/>
        </w:rPr>
        <w:t xml:space="preserve"> ameaças ao meio ambiente estejam entre as competências da Polícia Ambiental, o que torna as ações de fiscalização um conflito, é a abordagem praticada por essa instituição. Vista como hostil pelas populações locais</w:t>
      </w:r>
      <w:r>
        <w:rPr>
          <w:rStyle w:val="Refdenotaderodap"/>
          <w:color w:val="000000"/>
          <w:sz w:val="24"/>
          <w:szCs w:val="24"/>
        </w:rPr>
        <w:footnoteReference w:id="6"/>
      </w:r>
      <w:r>
        <w:rPr>
          <w:color w:val="000000"/>
          <w:sz w:val="24"/>
          <w:szCs w:val="24"/>
        </w:rPr>
        <w:t>, esse comportamento recorrente da Força Verde é um conflito intricado que está presente na AE, e atinge diferentes grupos sociais no território. Conforme exposto na Tabela 7:</w:t>
      </w:r>
    </w:p>
    <w:p w:rsidR="009C776E" w:rsidRDefault="009C776E" w:rsidP="009C776E">
      <w:pPr>
        <w:shd w:val="clear" w:color="auto" w:fill="FFFFFF"/>
        <w:jc w:val="both"/>
        <w:rPr>
          <w:color w:val="000000"/>
          <w:sz w:val="24"/>
          <w:szCs w:val="24"/>
        </w:rPr>
      </w:pPr>
    </w:p>
    <w:p w:rsidR="009C776E" w:rsidRPr="00D72911" w:rsidRDefault="009C776E" w:rsidP="009C776E">
      <w:pPr>
        <w:pStyle w:val="TtuloLegenda"/>
      </w:pPr>
      <w:r>
        <w:t>Tabela 7 – Populações Locais</w:t>
      </w:r>
      <w:r w:rsidRPr="0054315E">
        <w:t xml:space="preserve"> </w:t>
      </w:r>
      <w:r>
        <w:t>e Fiscalização Ambiental</w:t>
      </w:r>
    </w:p>
    <w:tbl>
      <w:tblPr>
        <w:tblW w:w="0" w:type="auto"/>
        <w:jc w:val="center"/>
        <w:tblBorders>
          <w:top w:val="single" w:sz="12" w:space="0" w:color="auto"/>
          <w:bottom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504"/>
        <w:gridCol w:w="7707"/>
      </w:tblGrid>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jc w:val="both"/>
              <w:rPr>
                <w:rFonts w:eastAsia="Calibri" w:cs="Calibri"/>
                <w:b/>
                <w:bCs/>
                <w:color w:val="000000"/>
              </w:rPr>
            </w:pPr>
            <w:r w:rsidRPr="00DC3586">
              <w:rPr>
                <w:rFonts w:eastAsia="Calibri" w:cs="Calibri"/>
                <w:b/>
                <w:bCs/>
                <w:color w:val="000000"/>
              </w:rPr>
              <w:t>População atingida</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pStyle w:val="TtuloLegenda"/>
              <w:jc w:val="both"/>
              <w:rPr>
                <w:rFonts w:cs="Calibri"/>
                <w:bCs/>
              </w:rPr>
            </w:pPr>
            <w:r>
              <w:rPr>
                <w:rFonts w:cs="Calibri"/>
                <w:bCs/>
              </w:rPr>
              <w:t>Pescadores Artesanais</w:t>
            </w:r>
            <w:r w:rsidRPr="00D72911">
              <w:rPr>
                <w:rFonts w:cs="Calibri"/>
                <w:bCs/>
              </w:rPr>
              <w:t xml:space="preserve">, Caiçaras e </w:t>
            </w:r>
            <w:proofErr w:type="gramStart"/>
            <w:r w:rsidRPr="00D72911">
              <w:rPr>
                <w:rFonts w:cs="Calibri"/>
                <w:bCs/>
              </w:rPr>
              <w:t>Quilombolas</w:t>
            </w:r>
            <w:proofErr w:type="gramEnd"/>
          </w:p>
        </w:tc>
      </w:tr>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jc w:val="both"/>
              <w:rPr>
                <w:rFonts w:eastAsia="Calibri" w:cs="Calibri"/>
                <w:b/>
                <w:color w:val="000000"/>
              </w:rPr>
            </w:pPr>
            <w:r>
              <w:rPr>
                <w:rFonts w:eastAsia="Calibri" w:cs="Calibri"/>
                <w:b/>
                <w:color w:val="000000"/>
              </w:rPr>
              <w:t>Comuni</w:t>
            </w:r>
            <w:r w:rsidRPr="00DC3586">
              <w:rPr>
                <w:rFonts w:eastAsia="Calibri" w:cs="Calibri"/>
                <w:b/>
                <w:color w:val="000000"/>
              </w:rPr>
              <w:t>dade</w:t>
            </w:r>
            <w:r>
              <w:rPr>
                <w:rFonts w:eastAsia="Calibri" w:cs="Calibri"/>
                <w:b/>
                <w:color w:val="000000"/>
              </w:rPr>
              <w:t xml:space="preserve"> (s)</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jc w:val="both"/>
              <w:rPr>
                <w:rFonts w:eastAsia="Calibri" w:cs="Calibri"/>
                <w:color w:val="000000"/>
              </w:rPr>
            </w:pPr>
            <w:r w:rsidRPr="00EA39E9">
              <w:rPr>
                <w:rFonts w:eastAsia="Calibri" w:cs="Calibri"/>
                <w:color w:val="000000"/>
              </w:rPr>
              <w:t xml:space="preserve">Acampamento José </w:t>
            </w:r>
            <w:proofErr w:type="spellStart"/>
            <w:r w:rsidRPr="00EA39E9">
              <w:rPr>
                <w:rFonts w:eastAsia="Calibri" w:cs="Calibri"/>
                <w:color w:val="000000"/>
              </w:rPr>
              <w:t>Lutzem</w:t>
            </w:r>
            <w:r>
              <w:rPr>
                <w:rFonts w:eastAsia="Calibri" w:cs="Calibri"/>
                <w:color w:val="000000"/>
              </w:rPr>
              <w:t>berger</w:t>
            </w:r>
            <w:proofErr w:type="spellEnd"/>
            <w:r w:rsidRPr="00EA39E9">
              <w:rPr>
                <w:rFonts w:eastAsia="Calibri" w:cs="Calibri"/>
                <w:color w:val="000000"/>
              </w:rPr>
              <w:t>;</w:t>
            </w:r>
            <w:r>
              <w:rPr>
                <w:rFonts w:eastAsia="Calibri" w:cs="Calibri"/>
                <w:color w:val="000000"/>
              </w:rPr>
              <w:t xml:space="preserve"> </w:t>
            </w:r>
            <w:r w:rsidRPr="00EA39E9">
              <w:rPr>
                <w:rFonts w:eastAsia="Calibri" w:cs="Calibri"/>
                <w:color w:val="000000"/>
              </w:rPr>
              <w:t xml:space="preserve">Comunidade Remanescente Quilombola de </w:t>
            </w:r>
            <w:proofErr w:type="spellStart"/>
            <w:r w:rsidRPr="00EA39E9">
              <w:rPr>
                <w:rFonts w:eastAsia="Calibri" w:cs="Calibri"/>
                <w:color w:val="000000"/>
              </w:rPr>
              <w:t>Batuva</w:t>
            </w:r>
            <w:proofErr w:type="spellEnd"/>
            <w:r>
              <w:rPr>
                <w:rFonts w:eastAsia="Calibri" w:cs="Calibri"/>
                <w:color w:val="000000"/>
              </w:rPr>
              <w:t xml:space="preserve">; </w:t>
            </w:r>
            <w:proofErr w:type="gramStart"/>
            <w:r>
              <w:rPr>
                <w:rFonts w:eastAsia="Calibri" w:cs="Calibri"/>
                <w:color w:val="000000"/>
              </w:rPr>
              <w:t>Almeida</w:t>
            </w:r>
            <w:proofErr w:type="gramEnd"/>
          </w:p>
        </w:tc>
      </w:tr>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tcPr>
          <w:p w:rsidR="009C776E" w:rsidRPr="00DC3586" w:rsidRDefault="009C776E" w:rsidP="009C776E">
            <w:pPr>
              <w:spacing w:line="240" w:lineRule="auto"/>
              <w:jc w:val="both"/>
              <w:rPr>
                <w:rFonts w:eastAsia="Calibri" w:cs="Calibri"/>
                <w:b/>
                <w:color w:val="000000"/>
              </w:rPr>
            </w:pPr>
            <w:r>
              <w:rPr>
                <w:rFonts w:eastAsia="Calibri" w:cs="Calibri"/>
                <w:b/>
                <w:color w:val="000000"/>
              </w:rPr>
              <w:t>Tensões</w:t>
            </w:r>
          </w:p>
        </w:tc>
        <w:tc>
          <w:tcPr>
            <w:tcW w:w="0" w:type="auto"/>
            <w:tcBorders>
              <w:top w:val="single" w:sz="4" w:space="0" w:color="auto"/>
              <w:bottom w:val="single" w:sz="4" w:space="0" w:color="auto"/>
            </w:tcBorders>
            <w:shd w:val="clear" w:color="auto" w:fill="auto"/>
            <w:vAlign w:val="center"/>
          </w:tcPr>
          <w:p w:rsidR="009C776E" w:rsidRPr="00880182" w:rsidRDefault="009C776E" w:rsidP="009C776E">
            <w:pPr>
              <w:spacing w:line="240" w:lineRule="auto"/>
              <w:jc w:val="both"/>
              <w:rPr>
                <w:rFonts w:eastAsia="Calibri" w:cs="Calibri"/>
                <w:color w:val="000000"/>
              </w:rPr>
            </w:pPr>
            <w:r w:rsidRPr="00EA39E9">
              <w:rPr>
                <w:rFonts w:eastAsia="Calibri" w:cs="Calibri"/>
                <w:color w:val="000000"/>
              </w:rPr>
              <w:t>Incompatibilidade no uso tradicional do território pelas pop</w:t>
            </w:r>
            <w:r>
              <w:rPr>
                <w:rFonts w:eastAsia="Calibri" w:cs="Calibri"/>
                <w:color w:val="000000"/>
              </w:rPr>
              <w:t xml:space="preserve">ulações </w:t>
            </w:r>
            <w:r w:rsidRPr="00EA39E9">
              <w:rPr>
                <w:rFonts w:eastAsia="Calibri" w:cs="Calibri"/>
                <w:color w:val="000000"/>
              </w:rPr>
              <w:t>com a legislação ambiental</w:t>
            </w:r>
            <w:r>
              <w:rPr>
                <w:rFonts w:eastAsia="Calibri" w:cs="Calibri"/>
                <w:color w:val="000000"/>
              </w:rPr>
              <w:t xml:space="preserve"> e improbidade na abordagem da Força Verde (Polícia Ambiental) em ações de fiscalização.</w:t>
            </w:r>
          </w:p>
        </w:tc>
      </w:tr>
      <w:tr w:rsidR="009C776E" w:rsidRPr="00DC3586" w:rsidTr="009C776E">
        <w:trPr>
          <w:trHeight w:val="600"/>
          <w:jc w:val="center"/>
        </w:trPr>
        <w:tc>
          <w:tcPr>
            <w:tcW w:w="0" w:type="auto"/>
            <w:tcBorders>
              <w:top w:val="single" w:sz="4" w:space="0" w:color="auto"/>
              <w:bottom w:val="single" w:sz="4" w:space="0" w:color="auto"/>
            </w:tcBorders>
            <w:vAlign w:val="center"/>
            <w:hideMark/>
          </w:tcPr>
          <w:p w:rsidR="009C776E" w:rsidRPr="00DC3586" w:rsidRDefault="009C776E" w:rsidP="009C776E">
            <w:pPr>
              <w:spacing w:line="240" w:lineRule="auto"/>
              <w:jc w:val="both"/>
              <w:rPr>
                <w:rFonts w:eastAsia="Calibri" w:cs="Calibri"/>
                <w:b/>
                <w:color w:val="000000"/>
              </w:rPr>
            </w:pPr>
            <w:r>
              <w:rPr>
                <w:rFonts w:eastAsia="Calibri" w:cs="Calibri"/>
                <w:b/>
                <w:color w:val="000000"/>
              </w:rPr>
              <w:t>Impacto</w:t>
            </w:r>
            <w:r w:rsidRPr="00DC3586">
              <w:rPr>
                <w:rFonts w:eastAsia="Calibri" w:cs="Calibri"/>
                <w:b/>
                <w:color w:val="000000"/>
              </w:rPr>
              <w:t>s ambientais</w:t>
            </w:r>
          </w:p>
        </w:tc>
        <w:tc>
          <w:tcPr>
            <w:tcW w:w="0" w:type="auto"/>
            <w:tcBorders>
              <w:top w:val="single" w:sz="4" w:space="0" w:color="auto"/>
              <w:bottom w:val="single" w:sz="4" w:space="0" w:color="auto"/>
            </w:tcBorders>
            <w:shd w:val="clear" w:color="auto" w:fill="auto"/>
            <w:vAlign w:val="center"/>
            <w:hideMark/>
          </w:tcPr>
          <w:p w:rsidR="009C776E" w:rsidRPr="00DC3586" w:rsidRDefault="00072D3C" w:rsidP="009C776E">
            <w:pPr>
              <w:spacing w:line="240" w:lineRule="auto"/>
              <w:jc w:val="both"/>
              <w:rPr>
                <w:rFonts w:eastAsia="Calibri" w:cs="Calibri"/>
                <w:color w:val="000000"/>
              </w:rPr>
            </w:pPr>
            <w:r>
              <w:rPr>
                <w:rFonts w:eastAsia="Calibri" w:cs="Calibri"/>
                <w:color w:val="000000"/>
              </w:rPr>
              <w:t>Agravo ou criação de impactos em virtude da fiscalização.</w:t>
            </w:r>
          </w:p>
        </w:tc>
      </w:tr>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jc w:val="both"/>
              <w:rPr>
                <w:rFonts w:eastAsia="Calibri" w:cs="Calibri"/>
                <w:b/>
                <w:color w:val="000000"/>
              </w:rPr>
            </w:pPr>
            <w:r w:rsidRPr="00DC3586">
              <w:rPr>
                <w:rFonts w:eastAsia="Calibri" w:cs="Calibri"/>
                <w:b/>
                <w:color w:val="000000"/>
              </w:rPr>
              <w:t>Síntese do conflito</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jc w:val="both"/>
              <w:rPr>
                <w:rFonts w:eastAsia="Calibri" w:cs="Calibri"/>
                <w:color w:val="000000"/>
              </w:rPr>
            </w:pPr>
            <w:r>
              <w:rPr>
                <w:rFonts w:eastAsia="Calibri" w:cs="Calibri"/>
                <w:color w:val="000000"/>
              </w:rPr>
              <w:t>O</w:t>
            </w:r>
            <w:r w:rsidRPr="008324EA">
              <w:rPr>
                <w:rFonts w:eastAsia="Calibri" w:cs="Calibri"/>
                <w:color w:val="000000"/>
              </w:rPr>
              <w:t xml:space="preserve"> conflito apresentado pelos moradores está na inquietação diante de uma interpretação da legislação ambiental que desorganiza severamente suas práticas culturais tradicionais, práticas vitais para a reprodução social da sua </w:t>
            </w:r>
            <w:r>
              <w:rPr>
                <w:rFonts w:eastAsia="Calibri" w:cs="Calibri"/>
                <w:color w:val="000000"/>
              </w:rPr>
              <w:t>vida e trabalho (SILVA, 2012). De acordo com Arantes (2016), a</w:t>
            </w:r>
            <w:r w:rsidRPr="004C788F">
              <w:rPr>
                <w:rFonts w:eastAsia="Calibri" w:cs="Calibri"/>
                <w:color w:val="000000"/>
              </w:rPr>
              <w:t xml:space="preserve"> fiscalização ambiental, em especial fe</w:t>
            </w:r>
            <w:r>
              <w:rPr>
                <w:rFonts w:eastAsia="Calibri" w:cs="Calibri"/>
                <w:color w:val="000000"/>
              </w:rPr>
              <w:t xml:space="preserve">ita pela Força Verde, é </w:t>
            </w:r>
            <w:r w:rsidRPr="004C788F">
              <w:rPr>
                <w:rFonts w:eastAsia="Calibri" w:cs="Calibri"/>
                <w:color w:val="000000"/>
              </w:rPr>
              <w:t xml:space="preserve">considerada pelos </w:t>
            </w:r>
            <w:r>
              <w:rPr>
                <w:rFonts w:eastAsia="Calibri" w:cs="Calibri"/>
                <w:color w:val="000000"/>
              </w:rPr>
              <w:t>moradores, entrevistados</w:t>
            </w:r>
            <w:r w:rsidRPr="004C788F">
              <w:rPr>
                <w:rFonts w:eastAsia="Calibri" w:cs="Calibri"/>
                <w:color w:val="000000"/>
              </w:rPr>
              <w:t xml:space="preserve"> </w:t>
            </w:r>
            <w:r>
              <w:rPr>
                <w:rFonts w:eastAsia="Calibri" w:cs="Calibri"/>
                <w:color w:val="000000"/>
              </w:rPr>
              <w:t xml:space="preserve">em sua pesquisa; </w:t>
            </w:r>
            <w:r w:rsidRPr="004C788F">
              <w:rPr>
                <w:rFonts w:eastAsia="Calibri" w:cs="Calibri"/>
                <w:color w:val="000000"/>
              </w:rPr>
              <w:t xml:space="preserve">como </w:t>
            </w:r>
            <w:proofErr w:type="gramStart"/>
            <w:r w:rsidRPr="004C788F">
              <w:rPr>
                <w:rFonts w:eastAsia="Calibri" w:cs="Calibri"/>
                <w:color w:val="000000"/>
              </w:rPr>
              <w:t>rude, truculenta</w:t>
            </w:r>
            <w:proofErr w:type="gramEnd"/>
            <w:r w:rsidRPr="004C788F">
              <w:rPr>
                <w:rFonts w:eastAsia="Calibri" w:cs="Calibri"/>
                <w:color w:val="000000"/>
              </w:rPr>
              <w:t xml:space="preserve"> e rígida, sendo bastante</w:t>
            </w:r>
            <w:r>
              <w:rPr>
                <w:rFonts w:eastAsia="Calibri" w:cs="Calibri"/>
                <w:color w:val="000000"/>
              </w:rPr>
              <w:t xml:space="preserve"> criticada por eles. Fato que a autora constatou</w:t>
            </w:r>
            <w:r w:rsidRPr="004C788F">
              <w:rPr>
                <w:rFonts w:eastAsia="Calibri" w:cs="Calibri"/>
                <w:color w:val="000000"/>
              </w:rPr>
              <w:t xml:space="preserve"> não apenas nas entrevistas, mas tamb</w:t>
            </w:r>
            <w:r>
              <w:rPr>
                <w:rFonts w:eastAsia="Calibri" w:cs="Calibri"/>
                <w:color w:val="000000"/>
              </w:rPr>
              <w:t xml:space="preserve">ém nas reuniões do COSEC e nas </w:t>
            </w:r>
            <w:r w:rsidRPr="004C788F">
              <w:rPr>
                <w:rFonts w:eastAsia="Calibri" w:cs="Calibri"/>
                <w:color w:val="000000"/>
              </w:rPr>
              <w:t xml:space="preserve">oficinas realizadas pela equipe do </w:t>
            </w:r>
            <w:proofErr w:type="gramStart"/>
            <w:r w:rsidRPr="004C788F">
              <w:rPr>
                <w:rFonts w:eastAsia="Calibri" w:cs="Calibri"/>
                <w:color w:val="000000"/>
              </w:rPr>
              <w:t>ICMBio</w:t>
            </w:r>
            <w:proofErr w:type="gramEnd"/>
            <w:r w:rsidRPr="004C788F">
              <w:rPr>
                <w:rFonts w:eastAsia="Calibri" w:cs="Calibri"/>
                <w:color w:val="000000"/>
              </w:rPr>
              <w:t xml:space="preserve"> e NESPAMP</w:t>
            </w:r>
            <w:r>
              <w:rPr>
                <w:rFonts w:eastAsia="Calibri" w:cs="Calibri"/>
                <w:color w:val="000000"/>
              </w:rPr>
              <w:t xml:space="preserve">/UFPR. </w:t>
            </w:r>
          </w:p>
        </w:tc>
      </w:tr>
      <w:tr w:rsidR="009C776E" w:rsidRPr="00DC3586" w:rsidTr="009C776E">
        <w:trPr>
          <w:trHeight w:val="3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jc w:val="both"/>
              <w:rPr>
                <w:rFonts w:eastAsia="Calibri" w:cs="Calibri"/>
                <w:color w:val="000000"/>
              </w:rPr>
            </w:pPr>
            <w:r w:rsidRPr="00DC3586">
              <w:rPr>
                <w:rFonts w:eastAsia="Calibri" w:cs="Calibri"/>
                <w:b/>
                <w:bCs/>
                <w:color w:val="000000"/>
              </w:rPr>
              <w:t>Referências</w:t>
            </w:r>
          </w:p>
        </w:tc>
        <w:tc>
          <w:tcPr>
            <w:tcW w:w="0" w:type="auto"/>
            <w:tcBorders>
              <w:top w:val="single" w:sz="4" w:space="0" w:color="auto"/>
              <w:bottom w:val="single" w:sz="4" w:space="0" w:color="auto"/>
            </w:tcBorders>
            <w:shd w:val="clear" w:color="auto" w:fill="auto"/>
            <w:vAlign w:val="center"/>
            <w:hideMark/>
          </w:tcPr>
          <w:p w:rsidR="009C776E" w:rsidRDefault="009C776E" w:rsidP="009C776E">
            <w:pPr>
              <w:spacing w:line="240" w:lineRule="auto"/>
              <w:jc w:val="both"/>
              <w:rPr>
                <w:rFonts w:eastAsia="Calibri"/>
                <w:color w:val="000000"/>
              </w:rPr>
            </w:pPr>
            <w:r>
              <w:rPr>
                <w:rFonts w:eastAsia="Calibri"/>
                <w:color w:val="000000"/>
              </w:rPr>
              <w:t>ARANTES, Ana Carolina. A Dinâmica Atual do Conflito entre Uso e</w:t>
            </w:r>
            <w:r w:rsidRPr="00116804">
              <w:rPr>
                <w:rFonts w:eastAsia="Calibri"/>
                <w:color w:val="000000"/>
              </w:rPr>
              <w:t xml:space="preserve"> Conservação </w:t>
            </w:r>
            <w:r>
              <w:rPr>
                <w:rFonts w:eastAsia="Calibri"/>
                <w:color w:val="000000"/>
              </w:rPr>
              <w:t>d</w:t>
            </w:r>
            <w:r w:rsidRPr="00116804">
              <w:rPr>
                <w:rFonts w:eastAsia="Calibri"/>
                <w:color w:val="000000"/>
              </w:rPr>
              <w:t xml:space="preserve">e </w:t>
            </w:r>
            <w:r>
              <w:rPr>
                <w:rFonts w:eastAsia="Calibri"/>
                <w:color w:val="000000"/>
              </w:rPr>
              <w:t>Re</w:t>
            </w:r>
            <w:r w:rsidRPr="00116804">
              <w:rPr>
                <w:rFonts w:eastAsia="Calibri"/>
                <w:color w:val="000000"/>
              </w:rPr>
              <w:t xml:space="preserve">cursos Pesqueiros </w:t>
            </w:r>
            <w:r>
              <w:rPr>
                <w:rFonts w:eastAsia="Calibri"/>
                <w:color w:val="000000"/>
              </w:rPr>
              <w:t>na Estação Ecológica d</w:t>
            </w:r>
            <w:r w:rsidRPr="00116804">
              <w:rPr>
                <w:rFonts w:eastAsia="Calibri"/>
                <w:color w:val="000000"/>
              </w:rPr>
              <w:t>e Guaraqueçaba, Paraná</w:t>
            </w:r>
            <w:r>
              <w:rPr>
                <w:rFonts w:eastAsia="Calibri"/>
                <w:color w:val="000000"/>
              </w:rPr>
              <w:t xml:space="preserve">. </w:t>
            </w:r>
            <w:r w:rsidRPr="00F83CF1">
              <w:rPr>
                <w:rFonts w:eastAsia="Calibri"/>
                <w:b/>
                <w:color w:val="000000"/>
              </w:rPr>
              <w:t>Dissertação de Mestrado</w:t>
            </w:r>
            <w:r>
              <w:rPr>
                <w:rFonts w:eastAsia="Calibri"/>
                <w:color w:val="000000"/>
              </w:rPr>
              <w:t xml:space="preserve"> em Meio Ambiente e</w:t>
            </w:r>
            <w:proofErr w:type="gramStart"/>
            <w:r>
              <w:rPr>
                <w:rFonts w:eastAsia="Calibri"/>
                <w:color w:val="000000"/>
              </w:rPr>
              <w:t xml:space="preserve">  </w:t>
            </w:r>
            <w:r w:rsidRPr="00116804">
              <w:rPr>
                <w:rFonts w:eastAsia="Calibri"/>
                <w:color w:val="000000"/>
              </w:rPr>
              <w:t xml:space="preserve"> </w:t>
            </w:r>
            <w:proofErr w:type="gramEnd"/>
            <w:r w:rsidRPr="00116804">
              <w:rPr>
                <w:rFonts w:eastAsia="Calibri"/>
                <w:color w:val="000000"/>
              </w:rPr>
              <w:t>De</w:t>
            </w:r>
            <w:r>
              <w:rPr>
                <w:rFonts w:eastAsia="Calibri"/>
                <w:color w:val="000000"/>
              </w:rPr>
              <w:t>senvolvimento, da Universidade Federal do Paraná, 2016.</w:t>
            </w:r>
          </w:p>
          <w:p w:rsidR="009C776E" w:rsidRDefault="009C776E" w:rsidP="009C776E">
            <w:pPr>
              <w:spacing w:line="240" w:lineRule="auto"/>
              <w:jc w:val="both"/>
              <w:rPr>
                <w:rFonts w:eastAsia="Calibri"/>
                <w:color w:val="000000"/>
              </w:rPr>
            </w:pPr>
          </w:p>
          <w:p w:rsidR="009C776E" w:rsidRDefault="009C776E" w:rsidP="009C776E">
            <w:pPr>
              <w:spacing w:line="240" w:lineRule="auto"/>
              <w:jc w:val="both"/>
              <w:rPr>
                <w:rFonts w:eastAsia="Calibri"/>
                <w:color w:val="000000"/>
              </w:rPr>
            </w:pPr>
            <w:r w:rsidRPr="002D717E">
              <w:rPr>
                <w:rFonts w:eastAsia="Calibri"/>
                <w:color w:val="000000"/>
              </w:rPr>
              <w:t xml:space="preserve">BAZZO, Juliane. Mato que vira mar, mar que vira mato: o território em movimento na vila de pescadores da Barra do </w:t>
            </w:r>
            <w:proofErr w:type="spellStart"/>
            <w:r w:rsidRPr="002D717E">
              <w:rPr>
                <w:rFonts w:eastAsia="Calibri"/>
                <w:color w:val="000000"/>
              </w:rPr>
              <w:t>Ararapira</w:t>
            </w:r>
            <w:proofErr w:type="spellEnd"/>
            <w:r w:rsidRPr="002D717E">
              <w:rPr>
                <w:rFonts w:eastAsia="Calibri"/>
                <w:color w:val="000000"/>
              </w:rPr>
              <w:t xml:space="preserve"> (Ilha do </w:t>
            </w:r>
            <w:proofErr w:type="spellStart"/>
            <w:r w:rsidRPr="002D717E">
              <w:rPr>
                <w:rFonts w:eastAsia="Calibri"/>
                <w:color w:val="000000"/>
              </w:rPr>
              <w:t>Superagui</w:t>
            </w:r>
            <w:proofErr w:type="spellEnd"/>
            <w:r w:rsidRPr="002D717E">
              <w:rPr>
                <w:rFonts w:eastAsia="Calibri"/>
                <w:color w:val="000000"/>
              </w:rPr>
              <w:t xml:space="preserve">, Guaraqueçaba, Paraná). </w:t>
            </w:r>
            <w:proofErr w:type="gramStart"/>
            <w:r w:rsidRPr="002D717E">
              <w:rPr>
                <w:rFonts w:eastAsia="Calibri"/>
                <w:color w:val="000000"/>
              </w:rPr>
              <w:t>2010, 287</w:t>
            </w:r>
            <w:proofErr w:type="gramEnd"/>
            <w:r w:rsidRPr="002D717E">
              <w:rPr>
                <w:rFonts w:eastAsia="Calibri"/>
                <w:color w:val="000000"/>
              </w:rPr>
              <w:t xml:space="preserve"> f. Dissertação (Programa de Pós-Graduação em Antropologia Social) – Universidade Federal do Paraná, Curitiba, 2010.</w:t>
            </w:r>
          </w:p>
          <w:p w:rsidR="009C776E" w:rsidRPr="003D0648" w:rsidRDefault="009C776E" w:rsidP="009C776E">
            <w:pPr>
              <w:spacing w:line="240" w:lineRule="auto"/>
              <w:jc w:val="both"/>
              <w:rPr>
                <w:rFonts w:eastAsia="Calibri"/>
                <w:color w:val="000000"/>
              </w:rPr>
            </w:pPr>
          </w:p>
          <w:p w:rsidR="009C776E" w:rsidRDefault="009C776E" w:rsidP="009C776E">
            <w:pPr>
              <w:spacing w:line="240" w:lineRule="auto"/>
              <w:jc w:val="both"/>
              <w:rPr>
                <w:rFonts w:eastAsia="Calibri" w:cs="Calibri"/>
                <w:color w:val="000000"/>
              </w:rPr>
            </w:pPr>
            <w:r>
              <w:rPr>
                <w:rFonts w:eastAsia="Calibri" w:cs="Calibri"/>
                <w:color w:val="000000"/>
              </w:rPr>
              <w:t>SILVA, Luiz Rogé</w:t>
            </w:r>
            <w:r w:rsidRPr="005A414D">
              <w:rPr>
                <w:rFonts w:eastAsia="Calibri" w:cs="Calibri"/>
                <w:color w:val="000000"/>
              </w:rPr>
              <w:t xml:space="preserve">rio Oliveira </w:t>
            </w:r>
            <w:proofErr w:type="gramStart"/>
            <w:r w:rsidRPr="005A414D">
              <w:rPr>
                <w:rFonts w:eastAsia="Calibri" w:cs="Calibri"/>
                <w:color w:val="000000"/>
              </w:rPr>
              <w:t>da.</w:t>
            </w:r>
            <w:proofErr w:type="gramEnd"/>
            <w:r w:rsidRPr="005A414D">
              <w:rPr>
                <w:rFonts w:eastAsia="Calibri" w:cs="Calibri"/>
                <w:color w:val="000000"/>
              </w:rPr>
              <w:t xml:space="preserve"> Conflitos socioambientais n</w:t>
            </w:r>
            <w:r>
              <w:rPr>
                <w:rFonts w:eastAsia="Calibri" w:cs="Calibri"/>
                <w:color w:val="000000"/>
              </w:rPr>
              <w:t>o litoral paranaense: a relaçã</w:t>
            </w:r>
            <w:r w:rsidRPr="005A414D">
              <w:rPr>
                <w:rFonts w:eastAsia="Calibri" w:cs="Calibri"/>
                <w:color w:val="000000"/>
              </w:rPr>
              <w:t>o home</w:t>
            </w:r>
            <w:r>
              <w:rPr>
                <w:rFonts w:eastAsia="Calibri" w:cs="Calibri"/>
                <w:color w:val="000000"/>
              </w:rPr>
              <w:t>m e natureza no bioma Mata Atlâ</w:t>
            </w:r>
            <w:r w:rsidRPr="005A414D">
              <w:rPr>
                <w:rFonts w:eastAsia="Calibri" w:cs="Calibri"/>
                <w:color w:val="000000"/>
              </w:rPr>
              <w:t xml:space="preserve">ntica. </w:t>
            </w:r>
            <w:r w:rsidRPr="00357B00">
              <w:rPr>
                <w:rFonts w:eastAsia="Calibri" w:cs="Calibri"/>
                <w:b/>
                <w:color w:val="000000"/>
              </w:rPr>
              <w:t xml:space="preserve">Anais </w:t>
            </w:r>
            <w:r w:rsidRPr="005A414D">
              <w:rPr>
                <w:rFonts w:eastAsia="Calibri" w:cs="Calibri"/>
                <w:color w:val="000000"/>
              </w:rPr>
              <w:t>d</w:t>
            </w:r>
            <w:r>
              <w:rPr>
                <w:rFonts w:eastAsia="Calibri" w:cs="Calibri"/>
                <w:color w:val="000000"/>
              </w:rPr>
              <w:t>o XI Encontro Nacional de História Oral: Memória Democracia e Justiç</w:t>
            </w:r>
            <w:r w:rsidRPr="005A414D">
              <w:rPr>
                <w:rFonts w:eastAsia="Calibri" w:cs="Calibri"/>
                <w:color w:val="000000"/>
              </w:rPr>
              <w:t>a, S</w:t>
            </w:r>
            <w:r>
              <w:rPr>
                <w:rFonts w:eastAsia="Calibri" w:cs="Calibri"/>
                <w:color w:val="000000"/>
              </w:rPr>
              <w:t>impósio Temático Histó</w:t>
            </w:r>
            <w:r w:rsidRPr="005A414D">
              <w:rPr>
                <w:rFonts w:eastAsia="Calibri" w:cs="Calibri"/>
                <w:color w:val="000000"/>
              </w:rPr>
              <w:t xml:space="preserve">ria, </w:t>
            </w:r>
            <w:r w:rsidRPr="005A414D">
              <w:rPr>
                <w:rFonts w:eastAsia="Calibri" w:cs="Calibri"/>
                <w:color w:val="000000"/>
              </w:rPr>
              <w:lastRenderedPageBreak/>
              <w:t>Natureza, Cultura e Oralidade, UFRJ. Rio de Janeiro, 11 de julho de 2012.</w:t>
            </w:r>
          </w:p>
          <w:p w:rsidR="009C776E" w:rsidRDefault="009C776E" w:rsidP="009C776E">
            <w:pPr>
              <w:spacing w:line="240" w:lineRule="auto"/>
              <w:jc w:val="both"/>
              <w:rPr>
                <w:rFonts w:eastAsia="Calibri" w:cs="Calibri"/>
                <w:color w:val="000000"/>
              </w:rPr>
            </w:pPr>
          </w:p>
          <w:p w:rsidR="009C776E" w:rsidRPr="00DC3586" w:rsidRDefault="009C776E" w:rsidP="009C776E">
            <w:pPr>
              <w:spacing w:line="240" w:lineRule="auto"/>
              <w:jc w:val="both"/>
              <w:rPr>
                <w:rFonts w:eastAsia="Calibri" w:cs="Calibri"/>
                <w:color w:val="000000"/>
              </w:rPr>
            </w:pPr>
            <w:r w:rsidRPr="00CA5360">
              <w:rPr>
                <w:rFonts w:eastAsia="Calibri" w:cs="Calibri"/>
                <w:b/>
                <w:color w:val="000000"/>
              </w:rPr>
              <w:t>Relatos</w:t>
            </w:r>
            <w:r>
              <w:rPr>
                <w:rFonts w:eastAsia="Calibri" w:cs="Calibri"/>
                <w:color w:val="000000"/>
              </w:rPr>
              <w:t xml:space="preserve"> de moradores durante o trabalho de campo da GB 130 realizado em setembro de 2016.</w:t>
            </w:r>
          </w:p>
        </w:tc>
      </w:tr>
    </w:tbl>
    <w:p w:rsidR="009C776E" w:rsidRDefault="009C776E" w:rsidP="009C776E">
      <w:pPr>
        <w:jc w:val="both"/>
        <w:rPr>
          <w:sz w:val="24"/>
          <w:szCs w:val="24"/>
        </w:rPr>
      </w:pPr>
    </w:p>
    <w:p w:rsidR="009C776E" w:rsidRDefault="009C776E" w:rsidP="009C776E">
      <w:pPr>
        <w:jc w:val="both"/>
        <w:rPr>
          <w:sz w:val="24"/>
          <w:szCs w:val="24"/>
        </w:rPr>
      </w:pPr>
      <w:r>
        <w:rPr>
          <w:sz w:val="24"/>
          <w:szCs w:val="24"/>
        </w:rPr>
        <w:tab/>
        <w:t xml:space="preserve">Relacionado </w:t>
      </w:r>
      <w:proofErr w:type="gramStart"/>
      <w:r>
        <w:rPr>
          <w:sz w:val="24"/>
          <w:szCs w:val="24"/>
        </w:rPr>
        <w:t>a</w:t>
      </w:r>
      <w:proofErr w:type="gramEnd"/>
      <w:r>
        <w:rPr>
          <w:sz w:val="24"/>
          <w:szCs w:val="24"/>
        </w:rPr>
        <w:t xml:space="preserve"> legislação ambiental e somado as restrições impostas pelas UC de Proteção Integral, está o conflito entre Pescadores Artesanais e a ESEC de Guaraqueçaba. Os manguezais utilizados tradicionalmente pelas comunidades pesqueiras são ambientalmente protegidos pelo Código Florestal, e no caso da AE, também pelo SNUC.</w:t>
      </w:r>
    </w:p>
    <w:p w:rsidR="009C776E" w:rsidRPr="009F41D2" w:rsidRDefault="009C776E" w:rsidP="009C776E">
      <w:pPr>
        <w:ind w:firstLine="708"/>
        <w:jc w:val="both"/>
      </w:pPr>
      <w:r>
        <w:rPr>
          <w:sz w:val="24"/>
          <w:szCs w:val="24"/>
        </w:rPr>
        <w:t>Além das</w:t>
      </w:r>
      <w:r w:rsidRPr="006B20E2">
        <w:rPr>
          <w:sz w:val="24"/>
          <w:szCs w:val="24"/>
        </w:rPr>
        <w:t xml:space="preserve"> funções</w:t>
      </w:r>
      <w:r>
        <w:rPr>
          <w:sz w:val="24"/>
          <w:szCs w:val="24"/>
        </w:rPr>
        <w:t xml:space="preserve"> ecológicas, </w:t>
      </w:r>
      <w:r w:rsidRPr="006B20E2">
        <w:rPr>
          <w:sz w:val="24"/>
          <w:szCs w:val="24"/>
        </w:rPr>
        <w:t>diversos produtos dos manguezais são explorado</w:t>
      </w:r>
      <w:r>
        <w:rPr>
          <w:sz w:val="24"/>
          <w:szCs w:val="24"/>
        </w:rPr>
        <w:t xml:space="preserve">s diretamente pelas comunidades </w:t>
      </w:r>
      <w:r w:rsidRPr="006B20E2">
        <w:rPr>
          <w:sz w:val="24"/>
          <w:szCs w:val="24"/>
        </w:rPr>
        <w:t>costeiras, especialmente recursos pesqueiros,</w:t>
      </w:r>
      <w:r>
        <w:rPr>
          <w:sz w:val="24"/>
          <w:szCs w:val="24"/>
        </w:rPr>
        <w:t xml:space="preserve"> como ostras e caranguejos, mas </w:t>
      </w:r>
      <w:r w:rsidRPr="006B20E2">
        <w:rPr>
          <w:sz w:val="24"/>
          <w:szCs w:val="24"/>
        </w:rPr>
        <w:t>também a madeira e extratos vegetais</w:t>
      </w:r>
      <w:r>
        <w:rPr>
          <w:sz w:val="24"/>
          <w:szCs w:val="24"/>
        </w:rPr>
        <w:t xml:space="preserve"> (FARACO, 2015).</w:t>
      </w:r>
      <w:r w:rsidRPr="003117D9">
        <w:t xml:space="preserve"> </w:t>
      </w:r>
      <w:r>
        <w:rPr>
          <w:sz w:val="24"/>
          <w:szCs w:val="24"/>
        </w:rPr>
        <w:t xml:space="preserve">Nas vilas pesqueiras do Complexo Estuarino de Paranaguá, a </w:t>
      </w:r>
      <w:r w:rsidRPr="003117D9">
        <w:rPr>
          <w:sz w:val="24"/>
          <w:szCs w:val="24"/>
        </w:rPr>
        <w:t>extr</w:t>
      </w:r>
      <w:r>
        <w:rPr>
          <w:sz w:val="24"/>
          <w:szCs w:val="24"/>
        </w:rPr>
        <w:t xml:space="preserve">ação de madeira procedente dos </w:t>
      </w:r>
      <w:r w:rsidRPr="003117D9">
        <w:rPr>
          <w:sz w:val="24"/>
          <w:szCs w:val="24"/>
        </w:rPr>
        <w:t>manguezais atualmente é rara, mas quando ocorre,</w:t>
      </w:r>
      <w:r>
        <w:rPr>
          <w:sz w:val="24"/>
          <w:szCs w:val="24"/>
        </w:rPr>
        <w:t xml:space="preserve"> é usada para varas de amarrar </w:t>
      </w:r>
      <w:r w:rsidRPr="003117D9">
        <w:rPr>
          <w:sz w:val="24"/>
          <w:szCs w:val="24"/>
        </w:rPr>
        <w:t>rede e embarcação de pesca, construção de ran</w:t>
      </w:r>
      <w:r>
        <w:rPr>
          <w:sz w:val="24"/>
          <w:szCs w:val="24"/>
        </w:rPr>
        <w:t xml:space="preserve">chos de embarcações e elevação </w:t>
      </w:r>
      <w:r w:rsidRPr="003117D9">
        <w:rPr>
          <w:sz w:val="24"/>
          <w:szCs w:val="24"/>
        </w:rPr>
        <w:t>da base das casas</w:t>
      </w:r>
      <w:r>
        <w:rPr>
          <w:sz w:val="24"/>
          <w:szCs w:val="24"/>
        </w:rPr>
        <w:t xml:space="preserve"> (</w:t>
      </w:r>
      <w:proofErr w:type="gramStart"/>
      <w:r>
        <w:rPr>
          <w:sz w:val="24"/>
          <w:szCs w:val="24"/>
        </w:rPr>
        <w:t xml:space="preserve">SANTOS, </w:t>
      </w:r>
      <w:r w:rsidRPr="003117D9">
        <w:rPr>
          <w:sz w:val="24"/>
          <w:szCs w:val="24"/>
        </w:rPr>
        <w:t>2013</w:t>
      </w:r>
      <w:proofErr w:type="gramEnd"/>
      <w:r w:rsidRPr="003117D9">
        <w:rPr>
          <w:sz w:val="24"/>
          <w:szCs w:val="24"/>
        </w:rPr>
        <w:t xml:space="preserve">).  </w:t>
      </w:r>
    </w:p>
    <w:p w:rsidR="009C776E" w:rsidRDefault="009C776E" w:rsidP="009C776E">
      <w:pPr>
        <w:ind w:firstLine="708"/>
        <w:jc w:val="both"/>
        <w:rPr>
          <w:sz w:val="24"/>
          <w:szCs w:val="24"/>
        </w:rPr>
      </w:pPr>
      <w:r>
        <w:rPr>
          <w:sz w:val="24"/>
          <w:szCs w:val="24"/>
        </w:rPr>
        <w:t>Embora seja uma UC de Proteção Integral, a</w:t>
      </w:r>
      <w:r w:rsidRPr="005C437D">
        <w:rPr>
          <w:sz w:val="24"/>
          <w:szCs w:val="24"/>
        </w:rPr>
        <w:t xml:space="preserve"> ESEC </w:t>
      </w:r>
      <w:r>
        <w:rPr>
          <w:sz w:val="24"/>
          <w:szCs w:val="24"/>
        </w:rPr>
        <w:t>tem gestão atual semelhante às de Uso Sustentável, pois não t</w:t>
      </w:r>
      <w:r w:rsidRPr="005C437D">
        <w:rPr>
          <w:sz w:val="24"/>
          <w:szCs w:val="24"/>
        </w:rPr>
        <w:t>em aplicado em suas áreas, as restrições ambientais dadas pel</w:t>
      </w:r>
      <w:r>
        <w:rPr>
          <w:sz w:val="24"/>
          <w:szCs w:val="24"/>
        </w:rPr>
        <w:t>o SNU</w:t>
      </w:r>
      <w:r w:rsidRPr="005C437D">
        <w:rPr>
          <w:sz w:val="24"/>
          <w:szCs w:val="24"/>
        </w:rPr>
        <w:t>C</w:t>
      </w:r>
      <w:r>
        <w:rPr>
          <w:sz w:val="24"/>
          <w:szCs w:val="24"/>
        </w:rPr>
        <w:t>. P</w:t>
      </w:r>
      <w:r w:rsidRPr="005C437D">
        <w:rPr>
          <w:sz w:val="24"/>
          <w:szCs w:val="24"/>
        </w:rPr>
        <w:t xml:space="preserve">orém, </w:t>
      </w:r>
      <w:r>
        <w:rPr>
          <w:sz w:val="24"/>
          <w:szCs w:val="24"/>
        </w:rPr>
        <w:t xml:space="preserve">a gestão </w:t>
      </w:r>
      <w:r w:rsidRPr="005C437D">
        <w:rPr>
          <w:sz w:val="24"/>
          <w:szCs w:val="24"/>
        </w:rPr>
        <w:t xml:space="preserve">tem procurado mediar </w:t>
      </w:r>
      <w:proofErr w:type="gramStart"/>
      <w:r w:rsidRPr="005C437D">
        <w:rPr>
          <w:sz w:val="24"/>
          <w:szCs w:val="24"/>
        </w:rPr>
        <w:t>a</w:t>
      </w:r>
      <w:proofErr w:type="gramEnd"/>
      <w:r w:rsidRPr="005C437D">
        <w:rPr>
          <w:sz w:val="24"/>
          <w:szCs w:val="24"/>
        </w:rPr>
        <w:t xml:space="preserve"> </w:t>
      </w:r>
      <w:r>
        <w:rPr>
          <w:sz w:val="24"/>
          <w:szCs w:val="24"/>
        </w:rPr>
        <w:t xml:space="preserve">situação de irregularidade dos </w:t>
      </w:r>
      <w:r w:rsidRPr="005C437D">
        <w:rPr>
          <w:sz w:val="24"/>
          <w:szCs w:val="24"/>
        </w:rPr>
        <w:t>pescadores diante das leis ambientais, identificando</w:t>
      </w:r>
      <w:r>
        <w:rPr>
          <w:sz w:val="24"/>
          <w:szCs w:val="24"/>
        </w:rPr>
        <w:t>-os como população tradicional possuidora de direitos, e auxiliar os pescadores na alteração da legislação atual</w:t>
      </w:r>
      <w:r>
        <w:rPr>
          <w:rStyle w:val="Refdenotaderodap"/>
          <w:sz w:val="24"/>
          <w:szCs w:val="24"/>
        </w:rPr>
        <w:footnoteReference w:id="7"/>
      </w:r>
      <w:r>
        <w:rPr>
          <w:sz w:val="24"/>
          <w:szCs w:val="24"/>
        </w:rPr>
        <w:t xml:space="preserve"> que rege a </w:t>
      </w:r>
      <w:r w:rsidRPr="005C437D">
        <w:rPr>
          <w:sz w:val="24"/>
          <w:szCs w:val="24"/>
        </w:rPr>
        <w:t>cap</w:t>
      </w:r>
      <w:r>
        <w:rPr>
          <w:sz w:val="24"/>
          <w:szCs w:val="24"/>
        </w:rPr>
        <w:t>tura do caranguejo-uçá no território (ARANTES, 2016). A síntese desse conflito é alocada na Tabela 8:</w:t>
      </w:r>
    </w:p>
    <w:p w:rsidR="009C776E" w:rsidRDefault="009C776E" w:rsidP="009C776E">
      <w:pPr>
        <w:rPr>
          <w:sz w:val="24"/>
          <w:szCs w:val="24"/>
        </w:rPr>
      </w:pPr>
    </w:p>
    <w:p w:rsidR="009C776E" w:rsidRPr="00D72911" w:rsidRDefault="009C776E" w:rsidP="009C776E">
      <w:pPr>
        <w:pStyle w:val="TtuloLegenda"/>
      </w:pPr>
      <w:r>
        <w:t>Tabela 8 – Pescadores Artesanais e ESEC de Guaraqueçaba</w:t>
      </w:r>
    </w:p>
    <w:tbl>
      <w:tblPr>
        <w:tblW w:w="0" w:type="auto"/>
        <w:jc w:val="center"/>
        <w:tblBorders>
          <w:top w:val="single" w:sz="12" w:space="0" w:color="auto"/>
          <w:bottom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505"/>
        <w:gridCol w:w="7706"/>
      </w:tblGrid>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bCs/>
                <w:color w:val="000000"/>
              </w:rPr>
            </w:pPr>
            <w:r w:rsidRPr="00DC3586">
              <w:rPr>
                <w:rFonts w:eastAsia="Calibri" w:cs="Calibri"/>
                <w:b/>
                <w:bCs/>
                <w:color w:val="000000"/>
              </w:rPr>
              <w:t>População atingida</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pStyle w:val="TtuloLegenda"/>
              <w:jc w:val="both"/>
              <w:rPr>
                <w:rFonts w:cs="Calibri"/>
                <w:bCs/>
              </w:rPr>
            </w:pPr>
            <w:r w:rsidRPr="00EE2FAE">
              <w:rPr>
                <w:rFonts w:cs="Calibri"/>
                <w:bCs/>
              </w:rPr>
              <w:t xml:space="preserve"> Pescadores</w:t>
            </w:r>
            <w:r>
              <w:rPr>
                <w:rFonts w:cs="Calibri"/>
                <w:bCs/>
              </w:rPr>
              <w:t xml:space="preserve"> Artesanais</w:t>
            </w:r>
          </w:p>
        </w:tc>
      </w:tr>
      <w:tr w:rsidR="009C776E" w:rsidRPr="008C180C"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color w:val="000000"/>
              </w:rPr>
            </w:pPr>
            <w:r>
              <w:rPr>
                <w:rFonts w:eastAsia="Calibri" w:cs="Calibri"/>
                <w:b/>
                <w:color w:val="000000"/>
              </w:rPr>
              <w:t>Comunidade (s)</w:t>
            </w:r>
          </w:p>
        </w:tc>
        <w:tc>
          <w:tcPr>
            <w:tcW w:w="0" w:type="auto"/>
            <w:tcBorders>
              <w:top w:val="single" w:sz="4" w:space="0" w:color="auto"/>
              <w:bottom w:val="single" w:sz="4" w:space="0" w:color="auto"/>
            </w:tcBorders>
            <w:shd w:val="clear" w:color="auto" w:fill="auto"/>
            <w:vAlign w:val="center"/>
            <w:hideMark/>
          </w:tcPr>
          <w:p w:rsidR="009C776E" w:rsidRPr="008C180C" w:rsidRDefault="009C776E" w:rsidP="009C776E">
            <w:pPr>
              <w:spacing w:line="240" w:lineRule="auto"/>
              <w:jc w:val="both"/>
              <w:rPr>
                <w:rFonts w:eastAsia="Calibri"/>
                <w:color w:val="000000"/>
              </w:rPr>
            </w:pPr>
            <w:r w:rsidRPr="00CC5DC9">
              <w:rPr>
                <w:rFonts w:eastAsia="Calibri"/>
                <w:color w:val="000000"/>
              </w:rPr>
              <w:t>Almeida, Engen</w:t>
            </w:r>
            <w:r>
              <w:rPr>
                <w:rFonts w:eastAsia="Calibri"/>
                <w:color w:val="000000"/>
              </w:rPr>
              <w:t xml:space="preserve">ho Velho, </w:t>
            </w:r>
            <w:proofErr w:type="spellStart"/>
            <w:r>
              <w:rPr>
                <w:rFonts w:eastAsia="Calibri"/>
                <w:color w:val="000000"/>
              </w:rPr>
              <w:t>Guapicum</w:t>
            </w:r>
            <w:proofErr w:type="spellEnd"/>
            <w:r>
              <w:rPr>
                <w:rFonts w:eastAsia="Calibri"/>
                <w:color w:val="000000"/>
              </w:rPr>
              <w:t xml:space="preserve">, Ilha Rasa, </w:t>
            </w:r>
            <w:proofErr w:type="spellStart"/>
            <w:r w:rsidRPr="00CC5DC9">
              <w:rPr>
                <w:rFonts w:eastAsia="Calibri"/>
                <w:color w:val="000000"/>
              </w:rPr>
              <w:t>Massarapuã</w:t>
            </w:r>
            <w:proofErr w:type="spellEnd"/>
            <w:r w:rsidRPr="00CC5DC9">
              <w:rPr>
                <w:rFonts w:eastAsia="Calibri"/>
                <w:color w:val="000000"/>
              </w:rPr>
              <w:t>, M</w:t>
            </w:r>
            <w:r>
              <w:rPr>
                <w:rFonts w:eastAsia="Calibri"/>
                <w:color w:val="000000"/>
              </w:rPr>
              <w:t xml:space="preserve">edeiros, </w:t>
            </w:r>
            <w:proofErr w:type="spellStart"/>
            <w:r>
              <w:rPr>
                <w:rFonts w:eastAsia="Calibri"/>
                <w:color w:val="000000"/>
              </w:rPr>
              <w:t>Tibicanga</w:t>
            </w:r>
            <w:proofErr w:type="spellEnd"/>
            <w:r>
              <w:rPr>
                <w:rFonts w:eastAsia="Calibri"/>
                <w:color w:val="000000"/>
              </w:rPr>
              <w:t xml:space="preserve">, </w:t>
            </w:r>
            <w:proofErr w:type="spellStart"/>
            <w:r>
              <w:rPr>
                <w:rFonts w:eastAsia="Calibri"/>
                <w:color w:val="000000"/>
              </w:rPr>
              <w:t>Tromomô</w:t>
            </w:r>
            <w:proofErr w:type="spellEnd"/>
            <w:r>
              <w:rPr>
                <w:rFonts w:eastAsia="Calibri"/>
                <w:color w:val="000000"/>
              </w:rPr>
              <w:t>.</w:t>
            </w:r>
          </w:p>
        </w:tc>
      </w:tr>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tcPr>
          <w:p w:rsidR="009C776E" w:rsidRPr="00DC3586" w:rsidRDefault="009C776E" w:rsidP="009C776E">
            <w:pPr>
              <w:spacing w:line="240" w:lineRule="auto"/>
              <w:rPr>
                <w:rFonts w:eastAsia="Calibri" w:cs="Calibri"/>
                <w:b/>
                <w:color w:val="000000"/>
              </w:rPr>
            </w:pPr>
            <w:r>
              <w:rPr>
                <w:rFonts w:eastAsia="Calibri" w:cs="Calibri"/>
                <w:b/>
                <w:color w:val="000000"/>
              </w:rPr>
              <w:t>Tensões</w:t>
            </w:r>
          </w:p>
        </w:tc>
        <w:tc>
          <w:tcPr>
            <w:tcW w:w="0" w:type="auto"/>
            <w:tcBorders>
              <w:top w:val="single" w:sz="4" w:space="0" w:color="auto"/>
              <w:bottom w:val="single" w:sz="4" w:space="0" w:color="auto"/>
            </w:tcBorders>
            <w:shd w:val="clear" w:color="auto" w:fill="auto"/>
            <w:vAlign w:val="center"/>
          </w:tcPr>
          <w:p w:rsidR="009C776E" w:rsidRPr="00880182" w:rsidRDefault="009C776E" w:rsidP="009C776E">
            <w:pPr>
              <w:spacing w:line="240" w:lineRule="auto"/>
              <w:jc w:val="both"/>
              <w:rPr>
                <w:rFonts w:eastAsia="Calibri" w:cs="Calibri"/>
                <w:color w:val="000000"/>
              </w:rPr>
            </w:pPr>
            <w:r w:rsidRPr="00EA39E9">
              <w:rPr>
                <w:rFonts w:eastAsia="Calibri" w:cs="Calibri"/>
                <w:color w:val="000000"/>
              </w:rPr>
              <w:t>Incompatibilidade no uso tradicional do território pelas pop</w:t>
            </w:r>
            <w:r>
              <w:rPr>
                <w:rFonts w:eastAsia="Calibri" w:cs="Calibri"/>
                <w:color w:val="000000"/>
              </w:rPr>
              <w:t xml:space="preserve">ulações </w:t>
            </w:r>
            <w:r w:rsidRPr="00EA39E9">
              <w:rPr>
                <w:rFonts w:eastAsia="Calibri" w:cs="Calibri"/>
                <w:color w:val="000000"/>
              </w:rPr>
              <w:t>com a legislação ambiental</w:t>
            </w:r>
            <w:r>
              <w:rPr>
                <w:rFonts w:eastAsia="Calibri" w:cs="Calibri"/>
                <w:color w:val="000000"/>
              </w:rPr>
              <w:t xml:space="preserve"> e restrição a técnicas de pesca.</w:t>
            </w:r>
          </w:p>
        </w:tc>
      </w:tr>
      <w:tr w:rsidR="009C776E" w:rsidRPr="00DC3586" w:rsidTr="009C776E">
        <w:trPr>
          <w:trHeight w:val="600"/>
          <w:jc w:val="center"/>
        </w:trPr>
        <w:tc>
          <w:tcPr>
            <w:tcW w:w="0" w:type="auto"/>
            <w:tcBorders>
              <w:top w:val="single" w:sz="4" w:space="0" w:color="auto"/>
              <w:bottom w:val="single" w:sz="4" w:space="0" w:color="auto"/>
            </w:tcBorders>
            <w:vAlign w:val="center"/>
            <w:hideMark/>
          </w:tcPr>
          <w:p w:rsidR="009C776E" w:rsidRPr="00DC3586" w:rsidRDefault="009C776E" w:rsidP="009C776E">
            <w:pPr>
              <w:spacing w:line="240" w:lineRule="auto"/>
              <w:rPr>
                <w:rFonts w:eastAsia="Calibri" w:cs="Calibri"/>
                <w:b/>
                <w:color w:val="000000"/>
              </w:rPr>
            </w:pPr>
            <w:r>
              <w:rPr>
                <w:rFonts w:eastAsia="Calibri" w:cs="Calibri"/>
                <w:b/>
                <w:color w:val="000000"/>
              </w:rPr>
              <w:t>Impacto</w:t>
            </w:r>
            <w:r w:rsidRPr="00DC3586">
              <w:rPr>
                <w:rFonts w:eastAsia="Calibri" w:cs="Calibri"/>
                <w:b/>
                <w:color w:val="000000"/>
              </w:rPr>
              <w:t>s ambientais</w:t>
            </w:r>
          </w:p>
        </w:tc>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jc w:val="both"/>
              <w:rPr>
                <w:rFonts w:eastAsia="Calibri" w:cs="Calibri"/>
                <w:color w:val="000000"/>
              </w:rPr>
            </w:pPr>
            <w:r>
              <w:rPr>
                <w:rFonts w:eastAsia="Calibri" w:cs="Calibri"/>
                <w:color w:val="000000"/>
              </w:rPr>
              <w:t xml:space="preserve">Dificuldade de integrar as populações locais aos objetivos da conservação da </w:t>
            </w:r>
            <w:r>
              <w:rPr>
                <w:rFonts w:eastAsia="Calibri" w:cs="Calibri"/>
                <w:color w:val="000000"/>
              </w:rPr>
              <w:lastRenderedPageBreak/>
              <w:t>natureza.</w:t>
            </w:r>
          </w:p>
        </w:tc>
      </w:tr>
      <w:tr w:rsidR="009C776E" w:rsidRPr="00DC3586" w:rsidTr="009C776E">
        <w:trPr>
          <w:trHeight w:val="6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rPr>
                <w:rFonts w:eastAsia="Calibri" w:cs="Calibri"/>
                <w:b/>
                <w:color w:val="000000"/>
              </w:rPr>
            </w:pPr>
            <w:r w:rsidRPr="00DC3586">
              <w:rPr>
                <w:rFonts w:eastAsia="Calibri" w:cs="Calibri"/>
                <w:b/>
                <w:color w:val="000000"/>
              </w:rPr>
              <w:lastRenderedPageBreak/>
              <w:t>Síntese do conflito</w:t>
            </w:r>
          </w:p>
        </w:tc>
        <w:tc>
          <w:tcPr>
            <w:tcW w:w="0" w:type="auto"/>
            <w:tcBorders>
              <w:top w:val="single" w:sz="4" w:space="0" w:color="auto"/>
              <w:bottom w:val="single" w:sz="4" w:space="0" w:color="auto"/>
            </w:tcBorders>
            <w:shd w:val="clear" w:color="auto" w:fill="auto"/>
            <w:vAlign w:val="center"/>
          </w:tcPr>
          <w:p w:rsidR="009C776E" w:rsidRPr="00DC3586" w:rsidRDefault="009C776E" w:rsidP="009C776E">
            <w:pPr>
              <w:jc w:val="both"/>
              <w:rPr>
                <w:rFonts w:eastAsia="Calibri" w:cs="Calibri"/>
                <w:color w:val="000000"/>
              </w:rPr>
            </w:pPr>
            <w:r w:rsidRPr="00360207">
              <w:rPr>
                <w:rFonts w:eastAsia="Calibri" w:cs="Calibri"/>
                <w:color w:val="000000"/>
              </w:rPr>
              <w:t xml:space="preserve">O ecossistema predominante na ESEC de Guaraqueçaba são os manguezais, um ecossistema que com frequência é altamente produtivo, servindo de abrigo para inúmeras espécies e que providenciam renda à população da região, principalmente através da captura de caranguejo-uçá e ostra (SILVA, 2013).  Dada </w:t>
            </w:r>
            <w:proofErr w:type="gramStart"/>
            <w:r w:rsidRPr="00360207">
              <w:rPr>
                <w:rFonts w:eastAsia="Calibri" w:cs="Calibri"/>
                <w:color w:val="000000"/>
              </w:rPr>
              <w:t>a</w:t>
            </w:r>
            <w:proofErr w:type="gramEnd"/>
            <w:r w:rsidRPr="00360207">
              <w:rPr>
                <w:rFonts w:eastAsia="Calibri" w:cs="Calibri"/>
                <w:color w:val="000000"/>
              </w:rPr>
              <w:t xml:space="preserve"> importância ecológica desse ecossistema, a captura destes recursos é orientada por legislações ambientais federais e estaduais, o que tem gerado tensões e conflitos entre os órgãos responsáveis pelo controle e fiscalização ambiental e pescadores das vilas usuárias desses recursos </w:t>
            </w:r>
            <w:r>
              <w:rPr>
                <w:rFonts w:eastAsia="Calibri" w:cs="Calibri"/>
                <w:color w:val="000000"/>
              </w:rPr>
              <w:t xml:space="preserve">nos manguezais (ARANTES, 2016). </w:t>
            </w:r>
            <w:r w:rsidRPr="007705ED">
              <w:rPr>
                <w:rFonts w:eastAsia="Calibri" w:cs="Calibri"/>
                <w:color w:val="000000"/>
              </w:rPr>
              <w:t>A gestão atual da ESEC não tem aplicado em suas áreas, as restrições ambientais dad</w:t>
            </w:r>
            <w:r>
              <w:rPr>
                <w:rFonts w:eastAsia="Calibri" w:cs="Calibri"/>
                <w:color w:val="000000"/>
              </w:rPr>
              <w:t>as pelo SNUC</w:t>
            </w:r>
            <w:r w:rsidRPr="007705ED">
              <w:rPr>
                <w:rFonts w:eastAsia="Calibri" w:cs="Calibri"/>
                <w:color w:val="000000"/>
              </w:rPr>
              <w:t xml:space="preserve">, porém, tem procurado mediar </w:t>
            </w:r>
            <w:proofErr w:type="gramStart"/>
            <w:r w:rsidRPr="007705ED">
              <w:rPr>
                <w:rFonts w:eastAsia="Calibri" w:cs="Calibri"/>
                <w:color w:val="000000"/>
              </w:rPr>
              <w:t>a</w:t>
            </w:r>
            <w:proofErr w:type="gramEnd"/>
            <w:r w:rsidRPr="007705ED">
              <w:rPr>
                <w:rFonts w:eastAsia="Calibri" w:cs="Calibri"/>
                <w:color w:val="000000"/>
              </w:rPr>
              <w:t xml:space="preserve"> situação de irregularidade dos pescadores diante das leis ambientais, </w:t>
            </w:r>
            <w:r>
              <w:rPr>
                <w:rFonts w:eastAsia="Calibri" w:cs="Calibri"/>
                <w:color w:val="000000"/>
              </w:rPr>
              <w:t>através de um termo de compromisso. Além de auxiliar</w:t>
            </w:r>
            <w:r w:rsidRPr="007705ED">
              <w:rPr>
                <w:rFonts w:eastAsia="Calibri" w:cs="Calibri"/>
                <w:color w:val="000000"/>
              </w:rPr>
              <w:t xml:space="preserve"> os pescadores em um pedido judicial visando uma alteração na legislação</w:t>
            </w:r>
            <w:r>
              <w:rPr>
                <w:rFonts w:eastAsia="Calibri" w:cs="Calibri"/>
                <w:color w:val="000000"/>
              </w:rPr>
              <w:t xml:space="preserve"> estadual</w:t>
            </w:r>
            <w:r w:rsidRPr="007705ED">
              <w:rPr>
                <w:rFonts w:eastAsia="Calibri" w:cs="Calibri"/>
                <w:color w:val="000000"/>
              </w:rPr>
              <w:t xml:space="preserve"> que rege a cap</w:t>
            </w:r>
            <w:r>
              <w:rPr>
                <w:rFonts w:eastAsia="Calibri" w:cs="Calibri"/>
                <w:color w:val="000000"/>
              </w:rPr>
              <w:t>tura do caranguejo-uçá no território</w:t>
            </w:r>
            <w:r w:rsidRPr="007705ED">
              <w:rPr>
                <w:rFonts w:eastAsia="Calibri" w:cs="Calibri"/>
                <w:color w:val="000000"/>
              </w:rPr>
              <w:t>, onde tal alteração permitiria o uso da técnica do laço/lacinho</w:t>
            </w:r>
            <w:r>
              <w:rPr>
                <w:rFonts w:eastAsia="Calibri" w:cs="Calibri"/>
                <w:color w:val="000000"/>
              </w:rPr>
              <w:t xml:space="preserve">. </w:t>
            </w:r>
            <w:r w:rsidRPr="00520D26">
              <w:rPr>
                <w:rFonts w:eastAsia="Calibri" w:cs="Calibri"/>
                <w:color w:val="000000"/>
              </w:rPr>
              <w:t>Esta técnica é muito utilizada na região, mas nem todas as vilas pesqueiras a utilizam, por não considerarem benéfica para o pescador e para o meio ambiente.</w:t>
            </w:r>
            <w:r>
              <w:rPr>
                <w:rFonts w:eastAsia="Calibri" w:cs="Calibri"/>
                <w:color w:val="000000"/>
              </w:rPr>
              <w:t xml:space="preserve"> (ARANTES, 2016).</w:t>
            </w:r>
          </w:p>
        </w:tc>
      </w:tr>
      <w:tr w:rsidR="009C776E" w:rsidRPr="00DC3586" w:rsidTr="009C776E">
        <w:trPr>
          <w:trHeight w:val="300"/>
          <w:jc w:val="center"/>
        </w:trPr>
        <w:tc>
          <w:tcPr>
            <w:tcW w:w="0" w:type="auto"/>
            <w:tcBorders>
              <w:top w:val="single" w:sz="4" w:space="0" w:color="auto"/>
              <w:bottom w:val="single" w:sz="4" w:space="0" w:color="auto"/>
            </w:tcBorders>
            <w:shd w:val="clear" w:color="auto" w:fill="auto"/>
            <w:vAlign w:val="center"/>
            <w:hideMark/>
          </w:tcPr>
          <w:p w:rsidR="009C776E" w:rsidRPr="00DC3586" w:rsidRDefault="009C776E" w:rsidP="009C776E">
            <w:pPr>
              <w:spacing w:line="240" w:lineRule="auto"/>
              <w:jc w:val="both"/>
              <w:rPr>
                <w:rFonts w:eastAsia="Calibri" w:cs="Calibri"/>
                <w:color w:val="000000"/>
              </w:rPr>
            </w:pPr>
            <w:r w:rsidRPr="00DC3586">
              <w:rPr>
                <w:rFonts w:eastAsia="Calibri" w:cs="Calibri"/>
                <w:b/>
                <w:bCs/>
                <w:color w:val="000000"/>
              </w:rPr>
              <w:t>Referências</w:t>
            </w:r>
          </w:p>
        </w:tc>
        <w:tc>
          <w:tcPr>
            <w:tcW w:w="0" w:type="auto"/>
            <w:tcBorders>
              <w:top w:val="single" w:sz="4" w:space="0" w:color="auto"/>
              <w:bottom w:val="single" w:sz="4" w:space="0" w:color="auto"/>
            </w:tcBorders>
            <w:shd w:val="clear" w:color="auto" w:fill="auto"/>
            <w:vAlign w:val="center"/>
            <w:hideMark/>
          </w:tcPr>
          <w:p w:rsidR="009C776E" w:rsidRDefault="009C776E" w:rsidP="009C776E">
            <w:pPr>
              <w:spacing w:line="240" w:lineRule="auto"/>
              <w:jc w:val="both"/>
              <w:rPr>
                <w:rFonts w:eastAsia="Calibri"/>
                <w:color w:val="000000"/>
              </w:rPr>
            </w:pPr>
            <w:r>
              <w:rPr>
                <w:rFonts w:eastAsia="Calibri"/>
                <w:color w:val="000000"/>
              </w:rPr>
              <w:t>ARANTES, Ana Carolina. A Dinâmica Atual do Conflito entre Uso e</w:t>
            </w:r>
            <w:r w:rsidRPr="00116804">
              <w:rPr>
                <w:rFonts w:eastAsia="Calibri"/>
                <w:color w:val="000000"/>
              </w:rPr>
              <w:t xml:space="preserve"> Conservação </w:t>
            </w:r>
            <w:r>
              <w:rPr>
                <w:rFonts w:eastAsia="Calibri"/>
                <w:color w:val="000000"/>
              </w:rPr>
              <w:t>d</w:t>
            </w:r>
            <w:r w:rsidRPr="00116804">
              <w:rPr>
                <w:rFonts w:eastAsia="Calibri"/>
                <w:color w:val="000000"/>
              </w:rPr>
              <w:t xml:space="preserve">e </w:t>
            </w:r>
            <w:r>
              <w:rPr>
                <w:rFonts w:eastAsia="Calibri"/>
                <w:color w:val="000000"/>
              </w:rPr>
              <w:t>Re</w:t>
            </w:r>
            <w:r w:rsidRPr="00116804">
              <w:rPr>
                <w:rFonts w:eastAsia="Calibri"/>
                <w:color w:val="000000"/>
              </w:rPr>
              <w:t xml:space="preserve">cursos Pesqueiros </w:t>
            </w:r>
            <w:r>
              <w:rPr>
                <w:rFonts w:eastAsia="Calibri"/>
                <w:color w:val="000000"/>
              </w:rPr>
              <w:t>na Estação Ecológica d</w:t>
            </w:r>
            <w:r w:rsidRPr="00116804">
              <w:rPr>
                <w:rFonts w:eastAsia="Calibri"/>
                <w:color w:val="000000"/>
              </w:rPr>
              <w:t>e Guaraqueçaba, Paraná</w:t>
            </w:r>
            <w:r>
              <w:rPr>
                <w:rFonts w:eastAsia="Calibri"/>
                <w:color w:val="000000"/>
              </w:rPr>
              <w:t xml:space="preserve">. </w:t>
            </w:r>
            <w:r w:rsidRPr="00F83CF1">
              <w:rPr>
                <w:rFonts w:eastAsia="Calibri"/>
                <w:b/>
                <w:color w:val="000000"/>
              </w:rPr>
              <w:t xml:space="preserve">Dissertação </w:t>
            </w:r>
            <w:r w:rsidRPr="006B20E2">
              <w:rPr>
                <w:rFonts w:eastAsia="Calibri"/>
                <w:color w:val="000000"/>
              </w:rPr>
              <w:t>de Mestrado</w:t>
            </w:r>
            <w:r>
              <w:rPr>
                <w:rFonts w:eastAsia="Calibri"/>
                <w:color w:val="000000"/>
              </w:rPr>
              <w:t xml:space="preserve"> em Meio Ambiente e</w:t>
            </w:r>
            <w:proofErr w:type="gramStart"/>
            <w:r>
              <w:rPr>
                <w:rFonts w:eastAsia="Calibri"/>
                <w:color w:val="000000"/>
              </w:rPr>
              <w:t xml:space="preserve">  </w:t>
            </w:r>
            <w:r w:rsidRPr="00116804">
              <w:rPr>
                <w:rFonts w:eastAsia="Calibri"/>
                <w:color w:val="000000"/>
              </w:rPr>
              <w:t xml:space="preserve"> </w:t>
            </w:r>
            <w:proofErr w:type="gramEnd"/>
            <w:r w:rsidRPr="00116804">
              <w:rPr>
                <w:rFonts w:eastAsia="Calibri"/>
                <w:color w:val="000000"/>
              </w:rPr>
              <w:t>De</w:t>
            </w:r>
            <w:r>
              <w:rPr>
                <w:rFonts w:eastAsia="Calibri"/>
                <w:color w:val="000000"/>
              </w:rPr>
              <w:t>senvolvimento, da Universidade Federal do Paraná, 2016.</w:t>
            </w:r>
          </w:p>
          <w:p w:rsidR="009C776E" w:rsidRDefault="009C776E" w:rsidP="009C776E">
            <w:pPr>
              <w:spacing w:line="240" w:lineRule="auto"/>
              <w:jc w:val="both"/>
              <w:rPr>
                <w:rFonts w:eastAsia="Calibri"/>
                <w:color w:val="000000"/>
              </w:rPr>
            </w:pPr>
          </w:p>
          <w:p w:rsidR="009C776E" w:rsidRDefault="009C776E" w:rsidP="009C776E">
            <w:pPr>
              <w:spacing w:line="240" w:lineRule="auto"/>
              <w:jc w:val="both"/>
              <w:rPr>
                <w:rFonts w:eastAsia="Calibri"/>
                <w:color w:val="000000"/>
              </w:rPr>
            </w:pPr>
            <w:r w:rsidRPr="006B20E2">
              <w:rPr>
                <w:rFonts w:eastAsia="Calibri"/>
                <w:color w:val="000000"/>
              </w:rPr>
              <w:t>FARACO, L. F. D.</w:t>
            </w:r>
            <w:proofErr w:type="gramStart"/>
            <w:r w:rsidRPr="006B20E2">
              <w:rPr>
                <w:rFonts w:eastAsia="Calibri"/>
                <w:color w:val="000000"/>
              </w:rPr>
              <w:t xml:space="preserve">  </w:t>
            </w:r>
            <w:proofErr w:type="gramEnd"/>
            <w:r w:rsidRPr="006B20E2">
              <w:rPr>
                <w:rFonts w:eastAsia="Calibri"/>
                <w:color w:val="000000"/>
              </w:rPr>
              <w:t>Vulnerabilidade de pescad</w:t>
            </w:r>
            <w:r>
              <w:rPr>
                <w:rFonts w:eastAsia="Calibri"/>
                <w:color w:val="000000"/>
              </w:rPr>
              <w:t xml:space="preserve">ores paranaenses às mudanças </w:t>
            </w:r>
            <w:r w:rsidRPr="006B20E2">
              <w:rPr>
                <w:rFonts w:eastAsia="Calibri"/>
                <w:color w:val="000000"/>
              </w:rPr>
              <w:t xml:space="preserve">climáticas e os fatores que influenciam suas </w:t>
            </w:r>
            <w:r>
              <w:rPr>
                <w:rFonts w:eastAsia="Calibri"/>
                <w:color w:val="000000"/>
              </w:rPr>
              <w:t xml:space="preserve">estratégias de adaptação. </w:t>
            </w:r>
            <w:r w:rsidRPr="006B20E2">
              <w:rPr>
                <w:rFonts w:eastAsia="Calibri"/>
                <w:b/>
                <w:color w:val="000000"/>
              </w:rPr>
              <w:t>Tese</w:t>
            </w:r>
            <w:r>
              <w:rPr>
                <w:rFonts w:eastAsia="Calibri"/>
                <w:color w:val="000000"/>
              </w:rPr>
              <w:t xml:space="preserve"> (D</w:t>
            </w:r>
            <w:r w:rsidRPr="006B20E2">
              <w:rPr>
                <w:rFonts w:eastAsia="Calibri"/>
                <w:color w:val="000000"/>
              </w:rPr>
              <w:t xml:space="preserve">outorado em Meio Ambiente e Desenvolvimento - UFPR). 261p. 2012.  </w:t>
            </w:r>
          </w:p>
          <w:p w:rsidR="009C776E" w:rsidRDefault="009C776E" w:rsidP="009C776E">
            <w:pPr>
              <w:spacing w:line="240" w:lineRule="auto"/>
              <w:jc w:val="both"/>
              <w:rPr>
                <w:rFonts w:eastAsia="Calibri"/>
                <w:color w:val="000000"/>
              </w:rPr>
            </w:pPr>
          </w:p>
          <w:p w:rsidR="009C776E" w:rsidRPr="003D0648" w:rsidRDefault="009C776E" w:rsidP="009C776E">
            <w:pPr>
              <w:spacing w:line="240" w:lineRule="auto"/>
              <w:jc w:val="both"/>
              <w:rPr>
                <w:rFonts w:eastAsia="Calibri"/>
                <w:color w:val="000000"/>
              </w:rPr>
            </w:pPr>
            <w:r w:rsidRPr="00243A36">
              <w:rPr>
                <w:rFonts w:eastAsia="Calibri"/>
                <w:color w:val="000000"/>
              </w:rPr>
              <w:t xml:space="preserve">SILVA, J. O.  Os usos dos manguezais </w:t>
            </w:r>
            <w:r>
              <w:rPr>
                <w:rFonts w:eastAsia="Calibri"/>
                <w:color w:val="000000"/>
              </w:rPr>
              <w:t xml:space="preserve">nas unidades de conservação de </w:t>
            </w:r>
            <w:r w:rsidRPr="00243A36">
              <w:rPr>
                <w:rFonts w:eastAsia="Calibri"/>
                <w:color w:val="000000"/>
              </w:rPr>
              <w:t>Guaraqueçaba - PR: dinâmicas socioambientais.</w:t>
            </w:r>
            <w:r>
              <w:rPr>
                <w:rFonts w:eastAsia="Calibri"/>
                <w:color w:val="000000"/>
              </w:rPr>
              <w:t xml:space="preserve"> </w:t>
            </w:r>
            <w:r w:rsidRPr="00243A36">
              <w:rPr>
                <w:rFonts w:eastAsia="Calibri"/>
                <w:b/>
                <w:color w:val="000000"/>
              </w:rPr>
              <w:t>Dissertação</w:t>
            </w:r>
            <w:r>
              <w:rPr>
                <w:rFonts w:eastAsia="Calibri"/>
                <w:color w:val="000000"/>
              </w:rPr>
              <w:t xml:space="preserve"> (mestrado em Meio </w:t>
            </w:r>
            <w:r w:rsidRPr="00243A36">
              <w:rPr>
                <w:rFonts w:eastAsia="Calibri"/>
                <w:color w:val="000000"/>
              </w:rPr>
              <w:t>Ambiente e Desenvolvimento) – Universidade Fede</w:t>
            </w:r>
            <w:r>
              <w:rPr>
                <w:rFonts w:eastAsia="Calibri"/>
                <w:color w:val="000000"/>
              </w:rPr>
              <w:t xml:space="preserve">ral do Paraná, Curitiba. 203p. 2013. </w:t>
            </w:r>
          </w:p>
        </w:tc>
      </w:tr>
    </w:tbl>
    <w:p w:rsidR="009C776E" w:rsidRDefault="009C776E" w:rsidP="009C776E">
      <w:pPr>
        <w:jc w:val="both"/>
        <w:rPr>
          <w:sz w:val="24"/>
          <w:szCs w:val="24"/>
        </w:rPr>
      </w:pPr>
    </w:p>
    <w:p w:rsidR="009C776E" w:rsidRDefault="009C776E" w:rsidP="009C776E">
      <w:pPr>
        <w:jc w:val="both"/>
        <w:rPr>
          <w:sz w:val="24"/>
          <w:szCs w:val="24"/>
        </w:rPr>
      </w:pPr>
      <w:r>
        <w:rPr>
          <w:sz w:val="24"/>
          <w:szCs w:val="24"/>
        </w:rPr>
        <w:tab/>
      </w:r>
      <w:r w:rsidRPr="00CC5F8C">
        <w:rPr>
          <w:sz w:val="24"/>
          <w:szCs w:val="24"/>
        </w:rPr>
        <w:t>Uma maior discussão acerca da pesc</w:t>
      </w:r>
      <w:r>
        <w:rPr>
          <w:sz w:val="24"/>
          <w:szCs w:val="24"/>
        </w:rPr>
        <w:t>a na AE será tratada no último i</w:t>
      </w:r>
      <w:r w:rsidRPr="00CC5F8C">
        <w:rPr>
          <w:sz w:val="24"/>
          <w:szCs w:val="24"/>
        </w:rPr>
        <w:t>tem deste capítulo. Outra atividade conflituosa na AE são as atividades portuárias, devido a sua dimensão e representatividade, foi dedicado, a seguir, um item para abordar suas múltiplas questões.</w:t>
      </w:r>
      <w:r>
        <w:rPr>
          <w:sz w:val="24"/>
          <w:szCs w:val="24"/>
        </w:rPr>
        <w:t xml:space="preserve"> </w:t>
      </w:r>
    </w:p>
    <w:p w:rsidR="001629FC" w:rsidRDefault="001629FC" w:rsidP="001629FC">
      <w:pPr>
        <w:jc w:val="both"/>
      </w:pPr>
    </w:p>
    <w:p w:rsidR="00AD6D24" w:rsidRPr="00AD6D24" w:rsidRDefault="00D96046" w:rsidP="00AD6D24">
      <w:pPr>
        <w:pStyle w:val="Ttulo1CerroAzul"/>
        <w:tabs>
          <w:tab w:val="clear" w:pos="6528"/>
        </w:tabs>
        <w:ind w:left="0" w:firstLine="0"/>
        <w:jc w:val="left"/>
        <w:rPr>
          <w:rFonts w:cs="Times New Roman"/>
        </w:rPr>
      </w:pPr>
      <w:r>
        <w:rPr>
          <w:caps w:val="0"/>
        </w:rPr>
        <w:lastRenderedPageBreak/>
        <w:t>ATIVIDADES PORTUÁRIAS</w:t>
      </w:r>
    </w:p>
    <w:p w:rsidR="00B342F3" w:rsidRPr="00274CF4" w:rsidRDefault="00580BB4" w:rsidP="002E5E8B">
      <w:pPr>
        <w:pStyle w:val="Ttulo2Tagaaba"/>
        <w:tabs>
          <w:tab w:val="num" w:pos="0"/>
        </w:tabs>
        <w:spacing w:before="0" w:after="480"/>
        <w:ind w:left="0" w:firstLine="0"/>
        <w:jc w:val="left"/>
        <w:rPr>
          <w:rFonts w:cs="Arial"/>
          <w:b w:val="0"/>
        </w:rPr>
      </w:pPr>
      <w:bookmarkStart w:id="1" w:name="_Toc404160298"/>
      <w:r>
        <w:rPr>
          <w:rFonts w:cs="Arial"/>
          <w:b w:val="0"/>
        </w:rPr>
        <w:t>caracterização da atividade na área de estudo</w:t>
      </w:r>
    </w:p>
    <w:bookmarkEnd w:id="1"/>
    <w:p w:rsidR="00580BB4" w:rsidRDefault="00580BB4" w:rsidP="00580BB4">
      <w:pPr>
        <w:pStyle w:val="Ttulo3"/>
        <w:numPr>
          <w:ilvl w:val="2"/>
          <w:numId w:val="3"/>
        </w:numPr>
        <w:spacing w:before="0" w:after="480"/>
        <w:ind w:left="0" w:firstLine="0"/>
        <w:rPr>
          <w:rFonts w:cs="Arial"/>
          <w:b w:val="0"/>
          <w:sz w:val="24"/>
          <w:szCs w:val="24"/>
        </w:rPr>
      </w:pPr>
      <w:r>
        <w:rPr>
          <w:rFonts w:cs="Arial"/>
          <w:b w:val="0"/>
          <w:sz w:val="24"/>
          <w:szCs w:val="24"/>
        </w:rPr>
        <w:t>Histórico das atividades portuárias no estado.</w:t>
      </w:r>
    </w:p>
    <w:p w:rsidR="007D47BF" w:rsidRDefault="007D47BF" w:rsidP="007D47BF">
      <w:pPr>
        <w:ind w:firstLine="700"/>
        <w:jc w:val="both"/>
      </w:pPr>
      <w:r>
        <w:rPr>
          <w:sz w:val="24"/>
          <w:szCs w:val="24"/>
          <w:highlight w:val="white"/>
        </w:rPr>
        <w:t>O presente capítulo trata da caracterização das atividades portuárias no Complexo Estuarino de Paranaguá tendo em vista a importância delas no contexto econômico e histórico do litoral, principalmente nos municípios de Antonina, Paranaguá e Pontal do Paraná, e a influência que exercem na área de estudo. O histórico das atividades portuárias são consequências do deslocamento de investimento da cidade de Paranaguá, esta que iniciou com a colonização do estado do Paraná e a chegada dos primeiros portugueses a região.</w:t>
      </w:r>
    </w:p>
    <w:p w:rsidR="007D47BF" w:rsidRDefault="007D47BF" w:rsidP="007D47BF">
      <w:pPr>
        <w:ind w:firstLine="700"/>
        <w:jc w:val="both"/>
      </w:pPr>
      <w:r>
        <w:rPr>
          <w:sz w:val="24"/>
          <w:szCs w:val="24"/>
          <w:highlight w:val="white"/>
        </w:rPr>
        <w:t>O estabelecimento de um pequeno atracadouro às margens do rio Itiberê na porção leste da cidade, fez com que surgisse em 1792, o primeiro aglomerado urbano de Paranaguá, com uma área estimada de 0,17 Km².  O processo de crescimento em direção à Baía de Paranaguá, onde a atividade portuária foi transferida, evidenciou-se a partir de 1910. Antes desta data o crescimento foi pequeno, totalizando uma área estimada em 0,66 Km².  A partir da década de 1920, começou o processo de aterramento para a construção de um cais de concreto, tipo dinamarquês, concluído para a inauguração oficial do porto, como Porto Dom Pedro II, já na década de 1930. Na década de 1950, o Porto de Paranaguá contava com quatro berços de atracação e nove armazéns adjacentes ao cais, abandonando definitivamente a antiga área portuária situada às margens do rio Itiberê (SOARES, 2009).</w:t>
      </w:r>
    </w:p>
    <w:p w:rsidR="007D47BF" w:rsidRDefault="007D47BF" w:rsidP="007D47BF">
      <w:pPr>
        <w:ind w:firstLine="700"/>
        <w:jc w:val="both"/>
      </w:pPr>
      <w:r>
        <w:rPr>
          <w:sz w:val="24"/>
          <w:szCs w:val="24"/>
          <w:highlight w:val="white"/>
        </w:rPr>
        <w:t xml:space="preserve">Nas últimas décadas, a expansão urbana ocorreu para setores cada vez mais distantes do núcleo original da cidade, principalmente em direção ao sul, devido às características geográficas da região, entremeada por inúmeras </w:t>
      </w:r>
      <w:proofErr w:type="spellStart"/>
      <w:r>
        <w:rPr>
          <w:sz w:val="24"/>
          <w:szCs w:val="24"/>
          <w:highlight w:val="white"/>
        </w:rPr>
        <w:t>gamboas</w:t>
      </w:r>
      <w:proofErr w:type="spellEnd"/>
      <w:r>
        <w:rPr>
          <w:sz w:val="24"/>
          <w:szCs w:val="24"/>
          <w:highlight w:val="white"/>
        </w:rPr>
        <w:t xml:space="preserve"> margeadas por manguezais. As novas áreas de expansão avançaram sobre estas feições naturais, através de aterramentos contínuos. Em 1980, o porto possuía quatorze berços de atracação e um setor específico para petroquímicos, localizado no oeste do porto (empresas Petrobras e </w:t>
      </w:r>
      <w:proofErr w:type="spellStart"/>
      <w:r>
        <w:rPr>
          <w:sz w:val="24"/>
          <w:szCs w:val="24"/>
          <w:highlight w:val="white"/>
        </w:rPr>
        <w:t>Cattalini</w:t>
      </w:r>
      <w:proofErr w:type="spellEnd"/>
      <w:r>
        <w:rPr>
          <w:sz w:val="24"/>
          <w:szCs w:val="24"/>
          <w:highlight w:val="white"/>
        </w:rPr>
        <w:t xml:space="preserve">). Já neste período toda a margem </w:t>
      </w:r>
      <w:r>
        <w:rPr>
          <w:sz w:val="24"/>
          <w:szCs w:val="24"/>
          <w:highlight w:val="white"/>
        </w:rPr>
        <w:lastRenderedPageBreak/>
        <w:t>norte da cidade de Paranaguá, voltada para a baía, foi ocupada por estruturas ligadas à atividade portuária (SOARES, 2009).</w:t>
      </w:r>
    </w:p>
    <w:p w:rsidR="00502E21" w:rsidRDefault="00502E21" w:rsidP="00F10C03">
      <w:pPr>
        <w:ind w:firstLine="709"/>
        <w:jc w:val="both"/>
        <w:rPr>
          <w:sz w:val="24"/>
          <w:szCs w:val="24"/>
        </w:rPr>
      </w:pPr>
    </w:p>
    <w:p w:rsidR="00F42ABF" w:rsidRDefault="00502E21" w:rsidP="00F42ABF">
      <w:pPr>
        <w:keepNext/>
        <w:ind w:firstLine="709"/>
        <w:jc w:val="both"/>
      </w:pPr>
      <w:r>
        <w:rPr>
          <w:noProof/>
          <w:sz w:val="24"/>
          <w:szCs w:val="24"/>
        </w:rPr>
        <w:drawing>
          <wp:inline distT="0" distB="0" distL="0" distR="0" wp14:anchorId="68DBDC47" wp14:editId="559E7C10">
            <wp:extent cx="4658567" cy="6010275"/>
            <wp:effectExtent l="0" t="0" r="889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58567" cy="6010275"/>
                    </a:xfrm>
                    <a:prstGeom prst="rect">
                      <a:avLst/>
                    </a:prstGeom>
                    <a:noFill/>
                    <a:ln>
                      <a:noFill/>
                    </a:ln>
                  </pic:spPr>
                </pic:pic>
              </a:graphicData>
            </a:graphic>
          </wp:inline>
        </w:drawing>
      </w:r>
    </w:p>
    <w:p w:rsidR="00502E21" w:rsidRDefault="00F42ABF" w:rsidP="00CD615C">
      <w:pPr>
        <w:pStyle w:val="Legenda"/>
      </w:pPr>
      <w:r>
        <w:t xml:space="preserve">Figura </w:t>
      </w:r>
      <w:r w:rsidR="00702BA8">
        <w:fldChar w:fldCharType="begin"/>
      </w:r>
      <w:r w:rsidR="00702BA8">
        <w:instrText xml:space="preserve"> SEQ Figura \* ARABIC </w:instrText>
      </w:r>
      <w:r w:rsidR="00702BA8">
        <w:fldChar w:fldCharType="separate"/>
      </w:r>
      <w:r w:rsidR="00CD615C">
        <w:rPr>
          <w:noProof/>
        </w:rPr>
        <w:t>1</w:t>
      </w:r>
      <w:r w:rsidR="00702BA8">
        <w:rPr>
          <w:noProof/>
        </w:rPr>
        <w:fldChar w:fldCharType="end"/>
      </w:r>
      <w:r>
        <w:t xml:space="preserve"> - </w:t>
      </w:r>
      <w:r w:rsidRPr="00F42ABF">
        <w:t>Evolução da ocupação urbana de Paranaguá no período 1792-2005</w:t>
      </w:r>
    </w:p>
    <w:p w:rsidR="00F42ABF" w:rsidRDefault="00F42ABF" w:rsidP="00F42ABF">
      <w:r>
        <w:t>Fonte: SOARES, 2009</w:t>
      </w:r>
    </w:p>
    <w:p w:rsidR="00F42ABF" w:rsidRDefault="00F42ABF" w:rsidP="00F42ABF">
      <w:pPr>
        <w:jc w:val="both"/>
      </w:pPr>
    </w:p>
    <w:p w:rsidR="007D47BF" w:rsidRDefault="007D47BF" w:rsidP="007D47BF">
      <w:pPr>
        <w:ind w:firstLine="700"/>
        <w:jc w:val="both"/>
      </w:pPr>
      <w:r>
        <w:rPr>
          <w:sz w:val="24"/>
          <w:szCs w:val="24"/>
          <w:highlight w:val="white"/>
        </w:rPr>
        <w:t>Com a transferência do porto e a implantação de uma estrutura portuária adequada à tecnologia naval em meados da década de 1950, Paranaguá passou por um crescimento urbano mais intenso, principalmente nas áreas adjacentes ao novo sítio portuário.</w:t>
      </w:r>
    </w:p>
    <w:p w:rsidR="00633269" w:rsidRDefault="00633269" w:rsidP="00633269">
      <w:pPr>
        <w:ind w:firstLine="709"/>
        <w:jc w:val="both"/>
        <w:rPr>
          <w:sz w:val="22"/>
          <w:szCs w:val="22"/>
        </w:rPr>
      </w:pPr>
    </w:p>
    <w:p w:rsidR="00633269" w:rsidRDefault="00633269" w:rsidP="00633269">
      <w:pPr>
        <w:keepNext/>
        <w:ind w:firstLine="709"/>
        <w:jc w:val="both"/>
      </w:pPr>
      <w:r w:rsidRPr="00C4278D">
        <w:rPr>
          <w:rFonts w:cstheme="minorHAnsi"/>
          <w:noProof/>
        </w:rPr>
        <w:drawing>
          <wp:inline distT="0" distB="0" distL="0" distR="0" wp14:anchorId="6BBC1E15" wp14:editId="2ADAF894">
            <wp:extent cx="4425994" cy="2638425"/>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47951" cy="2651514"/>
                    </a:xfrm>
                    <a:prstGeom prst="rect">
                      <a:avLst/>
                    </a:prstGeom>
                    <a:noFill/>
                    <a:ln>
                      <a:noFill/>
                    </a:ln>
                  </pic:spPr>
                </pic:pic>
              </a:graphicData>
            </a:graphic>
          </wp:inline>
        </w:drawing>
      </w:r>
    </w:p>
    <w:p w:rsidR="00633269" w:rsidRDefault="00633269" w:rsidP="00CD615C">
      <w:pPr>
        <w:pStyle w:val="Legenda"/>
      </w:pPr>
      <w:r>
        <w:t xml:space="preserve">Figura </w:t>
      </w:r>
      <w:r w:rsidR="00702BA8">
        <w:fldChar w:fldCharType="begin"/>
      </w:r>
      <w:r w:rsidR="00702BA8">
        <w:instrText xml:space="preserve"> SEQ Figura \* ARABIC </w:instrText>
      </w:r>
      <w:r w:rsidR="00702BA8">
        <w:fldChar w:fldCharType="separate"/>
      </w:r>
      <w:r w:rsidR="00CD615C">
        <w:rPr>
          <w:noProof/>
        </w:rPr>
        <w:t>2</w:t>
      </w:r>
      <w:r w:rsidR="00702BA8">
        <w:rPr>
          <w:noProof/>
        </w:rPr>
        <w:fldChar w:fldCharType="end"/>
      </w:r>
      <w:r>
        <w:t xml:space="preserve"> - </w:t>
      </w:r>
      <w:r w:rsidRPr="00633269">
        <w:t>O crescimento da área urbana de Paranaguá no período 1792-2005</w:t>
      </w:r>
    </w:p>
    <w:p w:rsidR="00633269" w:rsidRDefault="00633269" w:rsidP="00633269">
      <w:r>
        <w:t>Fonte: SOARES, 2009</w:t>
      </w:r>
    </w:p>
    <w:p w:rsidR="00633269" w:rsidRDefault="00633269" w:rsidP="00633269">
      <w:pPr>
        <w:jc w:val="both"/>
      </w:pPr>
    </w:p>
    <w:p w:rsidR="00633269" w:rsidRDefault="00633269" w:rsidP="00633269">
      <w:pPr>
        <w:keepNext/>
        <w:jc w:val="both"/>
      </w:pPr>
      <w:r w:rsidRPr="00C4278D">
        <w:rPr>
          <w:rFonts w:cstheme="minorHAnsi"/>
          <w:noProof/>
        </w:rPr>
        <w:drawing>
          <wp:inline distT="0" distB="0" distL="0" distR="0" wp14:anchorId="6537B8D9" wp14:editId="25BB480E">
            <wp:extent cx="5395410" cy="3438525"/>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00040" cy="3441476"/>
                    </a:xfrm>
                    <a:prstGeom prst="rect">
                      <a:avLst/>
                    </a:prstGeom>
                    <a:noFill/>
                    <a:ln>
                      <a:noFill/>
                    </a:ln>
                  </pic:spPr>
                </pic:pic>
              </a:graphicData>
            </a:graphic>
          </wp:inline>
        </w:drawing>
      </w:r>
    </w:p>
    <w:p w:rsidR="00633269" w:rsidRDefault="00633269" w:rsidP="00CD615C">
      <w:pPr>
        <w:pStyle w:val="Legenda"/>
      </w:pPr>
      <w:r>
        <w:t xml:space="preserve">Figura </w:t>
      </w:r>
      <w:r w:rsidR="00702BA8">
        <w:fldChar w:fldCharType="begin"/>
      </w:r>
      <w:r w:rsidR="00702BA8">
        <w:instrText xml:space="preserve"> SEQ Figura \* ARABIC </w:instrText>
      </w:r>
      <w:r w:rsidR="00702BA8">
        <w:fldChar w:fldCharType="separate"/>
      </w:r>
      <w:r w:rsidR="00CD615C">
        <w:rPr>
          <w:noProof/>
        </w:rPr>
        <w:t>3</w:t>
      </w:r>
      <w:r w:rsidR="00702BA8">
        <w:rPr>
          <w:noProof/>
        </w:rPr>
        <w:fldChar w:fldCharType="end"/>
      </w:r>
      <w:r>
        <w:t xml:space="preserve"> - </w:t>
      </w:r>
      <w:r w:rsidRPr="00633269">
        <w:t>Expansão do Porto de Paranaguá no período 1953-2005</w:t>
      </w:r>
    </w:p>
    <w:p w:rsidR="00633269" w:rsidRPr="00633269" w:rsidRDefault="00633269" w:rsidP="00633269">
      <w:r>
        <w:t>Fonte: SOARES, 2009</w:t>
      </w:r>
    </w:p>
    <w:p w:rsidR="00F42ABF" w:rsidRDefault="00F42ABF" w:rsidP="00633269">
      <w:pPr>
        <w:jc w:val="both"/>
      </w:pPr>
    </w:p>
    <w:p w:rsidR="007D47BF" w:rsidRDefault="007D47BF" w:rsidP="007D47BF">
      <w:pPr>
        <w:ind w:firstLine="700"/>
        <w:jc w:val="both"/>
      </w:pPr>
      <w:r>
        <w:rPr>
          <w:sz w:val="24"/>
          <w:szCs w:val="24"/>
          <w:highlight w:val="white"/>
        </w:rPr>
        <w:t xml:space="preserve">O porto deverá expandir suas áreas de </w:t>
      </w:r>
      <w:proofErr w:type="spellStart"/>
      <w:r>
        <w:rPr>
          <w:sz w:val="24"/>
          <w:szCs w:val="24"/>
          <w:highlight w:val="white"/>
        </w:rPr>
        <w:t>retroporto</w:t>
      </w:r>
      <w:proofErr w:type="spellEnd"/>
      <w:r>
        <w:rPr>
          <w:sz w:val="24"/>
          <w:szCs w:val="24"/>
          <w:highlight w:val="white"/>
        </w:rPr>
        <w:t xml:space="preserve"> e acostamento (PIERRI ESTADES </w:t>
      </w:r>
      <w:proofErr w:type="gramStart"/>
      <w:r>
        <w:rPr>
          <w:i/>
          <w:sz w:val="24"/>
          <w:szCs w:val="24"/>
          <w:highlight w:val="white"/>
        </w:rPr>
        <w:t>et</w:t>
      </w:r>
      <w:proofErr w:type="gramEnd"/>
      <w:r>
        <w:rPr>
          <w:i/>
          <w:sz w:val="24"/>
          <w:szCs w:val="24"/>
          <w:highlight w:val="white"/>
        </w:rPr>
        <w:t xml:space="preserve"> al., </w:t>
      </w:r>
      <w:r>
        <w:rPr>
          <w:sz w:val="24"/>
          <w:szCs w:val="24"/>
          <w:highlight w:val="white"/>
        </w:rPr>
        <w:t xml:space="preserve">2006), mas encontrará dificuldades para isto, na medida em que a </w:t>
      </w:r>
      <w:r>
        <w:rPr>
          <w:sz w:val="24"/>
          <w:szCs w:val="24"/>
          <w:highlight w:val="white"/>
        </w:rPr>
        <w:lastRenderedPageBreak/>
        <w:t xml:space="preserve">área </w:t>
      </w:r>
      <w:proofErr w:type="spellStart"/>
      <w:r>
        <w:rPr>
          <w:sz w:val="24"/>
          <w:szCs w:val="24"/>
          <w:highlight w:val="white"/>
        </w:rPr>
        <w:t>retroportuária</w:t>
      </w:r>
      <w:proofErr w:type="spellEnd"/>
      <w:r>
        <w:rPr>
          <w:sz w:val="24"/>
          <w:szCs w:val="24"/>
          <w:highlight w:val="white"/>
        </w:rPr>
        <w:t xml:space="preserve"> já se encontra urbanizada. Isto sugere a ocorrência de novos conflitos pelo uso do solo urbano. As áreas para </w:t>
      </w:r>
      <w:proofErr w:type="spellStart"/>
      <w:r>
        <w:rPr>
          <w:sz w:val="24"/>
          <w:szCs w:val="24"/>
          <w:highlight w:val="white"/>
        </w:rPr>
        <w:t>acostagem</w:t>
      </w:r>
      <w:proofErr w:type="spellEnd"/>
      <w:r>
        <w:rPr>
          <w:sz w:val="24"/>
          <w:szCs w:val="24"/>
          <w:highlight w:val="white"/>
        </w:rPr>
        <w:t xml:space="preserve"> já se encontram em seu limite, pelas características geográficas da municipalidade. Uma expansão para o oeste do atual porto demandará dragagens significativas, por </w:t>
      </w:r>
      <w:proofErr w:type="gramStart"/>
      <w:r>
        <w:rPr>
          <w:sz w:val="24"/>
          <w:szCs w:val="24"/>
          <w:highlight w:val="white"/>
        </w:rPr>
        <w:t>tratarem-se</w:t>
      </w:r>
      <w:proofErr w:type="gramEnd"/>
      <w:r>
        <w:rPr>
          <w:sz w:val="24"/>
          <w:szCs w:val="24"/>
          <w:highlight w:val="white"/>
        </w:rPr>
        <w:t xml:space="preserve"> de áreas rasas, onde prevalecem marismas, manguezais e baixios não vegetados. Para o leste, existe a foz do Rio Itiberê, via importante de navegação pesqueira e turística, que conduz ao núcleo portuário pretérito, no centro histórico da cidade. As áreas adjacentes, tanto ao leste como ao oeste, são áreas preservadas com diferentes Unidades de Conservação (SOARES, 2009).</w:t>
      </w:r>
    </w:p>
    <w:p w:rsidR="007D47BF" w:rsidRDefault="007D47BF" w:rsidP="007D47BF">
      <w:pPr>
        <w:jc w:val="both"/>
      </w:pPr>
      <w:r>
        <w:rPr>
          <w:sz w:val="24"/>
          <w:szCs w:val="24"/>
          <w:highlight w:val="white"/>
        </w:rPr>
        <w:t xml:space="preserve">        </w:t>
      </w:r>
      <w:r>
        <w:rPr>
          <w:sz w:val="24"/>
          <w:szCs w:val="24"/>
          <w:highlight w:val="white"/>
        </w:rPr>
        <w:tab/>
        <w:t>As edificações anteriormente relacionadas às atividades portuárias no centro de Paranaguá e utilizadas para outras funções ao longo do tempo são, em grande parte, tombadas pelo Instituto do Patrimônio Histórico e Artístico Nacional (IPHAN), encontrando-se em mau estado de conservação, não pertencendo às atuais áreas do porto (SOARES, 2009).</w:t>
      </w:r>
    </w:p>
    <w:p w:rsidR="001510E2" w:rsidRDefault="001510E2" w:rsidP="001510E2">
      <w:pPr>
        <w:pStyle w:val="Ttulo3"/>
        <w:numPr>
          <w:ilvl w:val="2"/>
          <w:numId w:val="3"/>
        </w:numPr>
        <w:rPr>
          <w:b w:val="0"/>
          <w:sz w:val="24"/>
          <w:szCs w:val="24"/>
        </w:rPr>
      </w:pPr>
      <w:r w:rsidRPr="001510E2">
        <w:rPr>
          <w:b w:val="0"/>
          <w:sz w:val="24"/>
          <w:szCs w:val="24"/>
        </w:rPr>
        <w:t>Estrutura atual dos terminais em operação.</w:t>
      </w:r>
    </w:p>
    <w:p w:rsidR="000B096C" w:rsidRDefault="000B096C" w:rsidP="000B096C">
      <w:pPr>
        <w:spacing w:before="240"/>
        <w:jc w:val="both"/>
        <w:rPr>
          <w:sz w:val="24"/>
          <w:szCs w:val="24"/>
        </w:rPr>
      </w:pPr>
      <w:r>
        <w:rPr>
          <w:sz w:val="24"/>
          <w:szCs w:val="24"/>
        </w:rPr>
        <w:t>Paranaguá</w:t>
      </w:r>
    </w:p>
    <w:p w:rsidR="0044191B" w:rsidRDefault="0044191B" w:rsidP="0044191B">
      <w:pPr>
        <w:spacing w:before="240"/>
        <w:ind w:firstLine="700"/>
        <w:jc w:val="both"/>
      </w:pPr>
      <w:r>
        <w:rPr>
          <w:sz w:val="24"/>
          <w:szCs w:val="24"/>
          <w:highlight w:val="white"/>
        </w:rPr>
        <w:t>A estrutura e equipamentos portuários existentes em Paranaguá são aqueles existentes dentro dos limites da Área de Porto Organizado (APO) de Paranaguá, definidos pelo Decreto Federal nº 4.558 (de 30/12/2002). Abrangem o Cais de Múltiplo Uso (CMU), também denominado de Cais Público ou Cais Comercial, o Pátio de Triagem de Caminhões (situado dentro da cidade de Paranaguá), o Complexo Corredor de Exportações (CCE, que está contido no CMU), o Terminal Público de Álcool, e as novas instalações em construção, como o Terminal Público de Importação de Granéis Sólidos, o Pátio Público de Veículos e a Plataforma Aduaneira (ou Plataforma Logística ou Condomínio Industrial), todos administrados pela Autoridade Portuária, através da APPA.</w:t>
      </w:r>
    </w:p>
    <w:p w:rsidR="0044191B" w:rsidRDefault="0044191B" w:rsidP="0044191B">
      <w:pPr>
        <w:jc w:val="both"/>
      </w:pPr>
      <w:r>
        <w:rPr>
          <w:sz w:val="24"/>
          <w:szCs w:val="24"/>
          <w:highlight w:val="white"/>
        </w:rPr>
        <w:t xml:space="preserve">        </w:t>
      </w:r>
      <w:r>
        <w:rPr>
          <w:sz w:val="24"/>
          <w:szCs w:val="24"/>
          <w:highlight w:val="white"/>
        </w:rPr>
        <w:tab/>
        <w:t>Também fazem parte da estrutura portuária de Paranaguá os terminais portuários de cargas específicas, como o TEPAR (</w:t>
      </w:r>
      <w:proofErr w:type="spellStart"/>
      <w:r>
        <w:rPr>
          <w:sz w:val="24"/>
          <w:szCs w:val="24"/>
          <w:highlight w:val="white"/>
        </w:rPr>
        <w:t>Transpetro</w:t>
      </w:r>
      <w:proofErr w:type="spellEnd"/>
      <w:r>
        <w:rPr>
          <w:sz w:val="24"/>
          <w:szCs w:val="24"/>
          <w:highlight w:val="white"/>
        </w:rPr>
        <w:t xml:space="preserve">), a </w:t>
      </w:r>
      <w:proofErr w:type="spellStart"/>
      <w:r>
        <w:rPr>
          <w:sz w:val="24"/>
          <w:szCs w:val="24"/>
          <w:highlight w:val="white"/>
        </w:rPr>
        <w:t>Cattalini</w:t>
      </w:r>
      <w:proofErr w:type="spellEnd"/>
      <w:r>
        <w:rPr>
          <w:sz w:val="24"/>
          <w:szCs w:val="24"/>
          <w:highlight w:val="white"/>
        </w:rPr>
        <w:t xml:space="preserve"> Terminais Marítimos, a </w:t>
      </w:r>
      <w:proofErr w:type="spellStart"/>
      <w:r>
        <w:rPr>
          <w:sz w:val="24"/>
          <w:szCs w:val="24"/>
          <w:highlight w:val="white"/>
        </w:rPr>
        <w:t>Fospar</w:t>
      </w:r>
      <w:proofErr w:type="spellEnd"/>
      <w:r>
        <w:rPr>
          <w:sz w:val="24"/>
          <w:szCs w:val="24"/>
          <w:highlight w:val="white"/>
        </w:rPr>
        <w:t xml:space="preserve">, o Centro de Distribuição de Veículos (CDV), a União </w:t>
      </w:r>
      <w:proofErr w:type="spellStart"/>
      <w:r>
        <w:rPr>
          <w:sz w:val="24"/>
          <w:szCs w:val="24"/>
          <w:highlight w:val="white"/>
        </w:rPr>
        <w:t>Vopak</w:t>
      </w:r>
      <w:proofErr w:type="spellEnd"/>
      <w:r>
        <w:rPr>
          <w:sz w:val="24"/>
          <w:szCs w:val="24"/>
          <w:highlight w:val="white"/>
        </w:rPr>
        <w:t xml:space="preserve">, </w:t>
      </w:r>
      <w:proofErr w:type="gramStart"/>
      <w:r>
        <w:rPr>
          <w:sz w:val="24"/>
          <w:szCs w:val="24"/>
          <w:highlight w:val="white"/>
        </w:rPr>
        <w:t xml:space="preserve">a </w:t>
      </w:r>
      <w:proofErr w:type="spellStart"/>
      <w:r>
        <w:rPr>
          <w:sz w:val="24"/>
          <w:szCs w:val="24"/>
          <w:highlight w:val="white"/>
        </w:rPr>
        <w:t>Fospar</w:t>
      </w:r>
      <w:proofErr w:type="spellEnd"/>
      <w:r>
        <w:rPr>
          <w:sz w:val="24"/>
          <w:szCs w:val="24"/>
          <w:highlight w:val="white"/>
        </w:rPr>
        <w:t xml:space="preserve"> – Fertilizantes Fosfatados do Paraná</w:t>
      </w:r>
      <w:proofErr w:type="gramEnd"/>
      <w:r>
        <w:rPr>
          <w:sz w:val="24"/>
          <w:szCs w:val="24"/>
          <w:highlight w:val="white"/>
        </w:rPr>
        <w:t xml:space="preserve">, e o Terminal de Contêineres de Paranaguá (TCP). O </w:t>
      </w:r>
      <w:proofErr w:type="spellStart"/>
      <w:r>
        <w:rPr>
          <w:sz w:val="24"/>
          <w:szCs w:val="24"/>
          <w:highlight w:val="white"/>
        </w:rPr>
        <w:t>Tepar</w:t>
      </w:r>
      <w:proofErr w:type="spellEnd"/>
      <w:r>
        <w:rPr>
          <w:sz w:val="24"/>
          <w:szCs w:val="24"/>
          <w:highlight w:val="white"/>
        </w:rPr>
        <w:t xml:space="preserve"> e a União </w:t>
      </w:r>
      <w:proofErr w:type="spellStart"/>
      <w:r>
        <w:rPr>
          <w:sz w:val="24"/>
          <w:szCs w:val="24"/>
          <w:highlight w:val="white"/>
        </w:rPr>
        <w:t>Vopak</w:t>
      </w:r>
      <w:proofErr w:type="spellEnd"/>
      <w:r>
        <w:rPr>
          <w:sz w:val="24"/>
          <w:szCs w:val="24"/>
          <w:highlight w:val="white"/>
        </w:rPr>
        <w:t xml:space="preserve"> utilizam-se do Píer de Inflamáveis, que </w:t>
      </w:r>
      <w:r>
        <w:rPr>
          <w:sz w:val="24"/>
          <w:szCs w:val="24"/>
          <w:highlight w:val="white"/>
        </w:rPr>
        <w:lastRenderedPageBreak/>
        <w:t xml:space="preserve">é público e pertence à APPA, sendo que a </w:t>
      </w:r>
      <w:proofErr w:type="spellStart"/>
      <w:r>
        <w:rPr>
          <w:sz w:val="24"/>
          <w:szCs w:val="24"/>
          <w:highlight w:val="white"/>
        </w:rPr>
        <w:t>Cattalini</w:t>
      </w:r>
      <w:proofErr w:type="spellEnd"/>
      <w:r>
        <w:rPr>
          <w:sz w:val="24"/>
          <w:szCs w:val="24"/>
          <w:highlight w:val="white"/>
        </w:rPr>
        <w:t xml:space="preserve"> e a </w:t>
      </w:r>
      <w:proofErr w:type="spellStart"/>
      <w:r>
        <w:rPr>
          <w:sz w:val="24"/>
          <w:szCs w:val="24"/>
          <w:highlight w:val="white"/>
        </w:rPr>
        <w:t>Fospar</w:t>
      </w:r>
      <w:proofErr w:type="spellEnd"/>
      <w:r>
        <w:rPr>
          <w:sz w:val="24"/>
          <w:szCs w:val="24"/>
          <w:highlight w:val="white"/>
        </w:rPr>
        <w:t xml:space="preserve"> possuem cais próprios e exclusivos, enquanto que o TCP usa o CMU (SOARES, 2009).</w:t>
      </w:r>
    </w:p>
    <w:p w:rsidR="000B096C" w:rsidRDefault="000B096C" w:rsidP="000B096C">
      <w:pPr>
        <w:jc w:val="both"/>
        <w:rPr>
          <w:sz w:val="24"/>
          <w:szCs w:val="24"/>
        </w:rPr>
      </w:pPr>
    </w:p>
    <w:p w:rsidR="000B096C" w:rsidRDefault="000B096C" w:rsidP="000B096C">
      <w:pPr>
        <w:keepNext/>
        <w:jc w:val="both"/>
      </w:pPr>
      <w:r w:rsidRPr="00C4278D">
        <w:rPr>
          <w:rFonts w:cstheme="minorHAnsi"/>
          <w:noProof/>
        </w:rPr>
        <w:drawing>
          <wp:inline distT="0" distB="0" distL="0" distR="0" wp14:anchorId="0D2EE208" wp14:editId="5AA20B05">
            <wp:extent cx="5400040" cy="2932950"/>
            <wp:effectExtent l="0" t="0" r="0" b="127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00040" cy="2932950"/>
                    </a:xfrm>
                    <a:prstGeom prst="rect">
                      <a:avLst/>
                    </a:prstGeom>
                    <a:noFill/>
                    <a:ln>
                      <a:noFill/>
                    </a:ln>
                  </pic:spPr>
                </pic:pic>
              </a:graphicData>
            </a:graphic>
          </wp:inline>
        </w:drawing>
      </w:r>
    </w:p>
    <w:p w:rsidR="000B096C" w:rsidRDefault="000B096C" w:rsidP="00CD615C">
      <w:pPr>
        <w:pStyle w:val="Legenda"/>
      </w:pPr>
      <w:r>
        <w:t xml:space="preserve">Figura </w:t>
      </w:r>
      <w:r w:rsidR="00702BA8">
        <w:fldChar w:fldCharType="begin"/>
      </w:r>
      <w:r w:rsidR="00702BA8">
        <w:instrText xml:space="preserve"> SEQ Figura \* ARABIC </w:instrText>
      </w:r>
      <w:r w:rsidR="00702BA8">
        <w:fldChar w:fldCharType="separate"/>
      </w:r>
      <w:r w:rsidR="00CD615C">
        <w:rPr>
          <w:noProof/>
        </w:rPr>
        <w:t>4</w:t>
      </w:r>
      <w:r w:rsidR="00702BA8">
        <w:rPr>
          <w:noProof/>
        </w:rPr>
        <w:fldChar w:fldCharType="end"/>
      </w:r>
      <w:r>
        <w:t xml:space="preserve"> - </w:t>
      </w:r>
      <w:r w:rsidRPr="000B096C">
        <w:t xml:space="preserve">Limite aproximado das atuais áreas do Porto de Paranaguá (em laranja) e as áreas administradas pela APPA ou arrendadas: A) Arrendadas antes da Lei 8.630/1993 (em vermelho): 1) Petrobras – Petróleo Brasileiro S/A; 2) Cotriguaçu; 3) </w:t>
      </w:r>
      <w:proofErr w:type="spellStart"/>
      <w:r w:rsidRPr="000B096C">
        <w:t>Bungue</w:t>
      </w:r>
      <w:proofErr w:type="spellEnd"/>
      <w:r w:rsidRPr="000B096C">
        <w:t xml:space="preserve"> Alimentos; 4) Cargill Agrícola S.A.; 5) </w:t>
      </w:r>
      <w:proofErr w:type="spellStart"/>
      <w:r w:rsidRPr="000B096C">
        <w:t>Soccepar</w:t>
      </w:r>
      <w:proofErr w:type="spellEnd"/>
      <w:r w:rsidRPr="000B096C">
        <w:t xml:space="preserve">; 6) União </w:t>
      </w:r>
      <w:proofErr w:type="spellStart"/>
      <w:r w:rsidRPr="000B096C">
        <w:t>Vopak</w:t>
      </w:r>
      <w:proofErr w:type="spellEnd"/>
      <w:r w:rsidRPr="000B096C">
        <w:t xml:space="preserve">; 7) Sadia S/A; 8) Centro-Sul; 9) Depósito </w:t>
      </w:r>
      <w:proofErr w:type="spellStart"/>
      <w:r w:rsidRPr="000B096C">
        <w:t>Franco-</w:t>
      </w:r>
      <w:proofErr w:type="gramStart"/>
      <w:r w:rsidRPr="000B096C">
        <w:t>Paraguaio;</w:t>
      </w:r>
      <w:proofErr w:type="gramEnd"/>
      <w:r w:rsidRPr="000B096C">
        <w:t>e</w:t>
      </w:r>
      <w:proofErr w:type="spellEnd"/>
      <w:r w:rsidRPr="000B096C">
        <w:t xml:space="preserve"> 10) Coamo. B) Arrendadas após a Lei 8.630/1993 (em amarelo): 10) Coamo; 11) </w:t>
      </w:r>
      <w:proofErr w:type="spellStart"/>
      <w:r w:rsidRPr="000B096C">
        <w:t>Interalli</w:t>
      </w:r>
      <w:proofErr w:type="spellEnd"/>
      <w:r w:rsidRPr="000B096C">
        <w:t xml:space="preserve">; 12) </w:t>
      </w:r>
      <w:proofErr w:type="spellStart"/>
      <w:r w:rsidRPr="000B096C">
        <w:t>Marcon</w:t>
      </w:r>
      <w:proofErr w:type="spellEnd"/>
      <w:r w:rsidRPr="000B096C">
        <w:t xml:space="preserve">; 13) </w:t>
      </w:r>
      <w:proofErr w:type="spellStart"/>
      <w:r w:rsidRPr="000B096C">
        <w:t>Cattalini</w:t>
      </w:r>
      <w:proofErr w:type="spellEnd"/>
      <w:r w:rsidRPr="000B096C">
        <w:t xml:space="preserve">; 15) Volkswagen do Brasil; 16) </w:t>
      </w:r>
      <w:proofErr w:type="spellStart"/>
      <w:r w:rsidRPr="000B096C">
        <w:t>Fospar</w:t>
      </w:r>
      <w:proofErr w:type="spellEnd"/>
      <w:r w:rsidRPr="000B096C">
        <w:t xml:space="preserve">; 17) TCP; 18) </w:t>
      </w:r>
      <w:proofErr w:type="spellStart"/>
      <w:r w:rsidRPr="000B096C">
        <w:t>Pasa</w:t>
      </w:r>
      <w:proofErr w:type="spellEnd"/>
      <w:r w:rsidRPr="000B096C">
        <w:t xml:space="preserve">; 19) Rocha Top; 20) Martini </w:t>
      </w:r>
      <w:proofErr w:type="spellStart"/>
      <w:r w:rsidRPr="000B096C">
        <w:t>Meat</w:t>
      </w:r>
      <w:proofErr w:type="spellEnd"/>
      <w:r w:rsidRPr="000B096C">
        <w:t xml:space="preserve">; e 21) </w:t>
      </w:r>
      <w:proofErr w:type="spellStart"/>
      <w:r w:rsidRPr="000B096C">
        <w:t>Coinbra</w:t>
      </w:r>
      <w:proofErr w:type="spellEnd"/>
      <w:r w:rsidRPr="000B096C">
        <w:t xml:space="preserve">. C) Administradas pela APPA (em azul): 22) Cais de Múltiplo Uso; 23) Complexo Corredor de Exportação; 24) Terminal Público de Álcool; 25) Terminal Público de Importação de Granéis Sólidos; 26) Plataforma Logística; e 27) Pátio Público de </w:t>
      </w:r>
      <w:proofErr w:type="gramStart"/>
      <w:r w:rsidRPr="000B096C">
        <w:t>Veículos</w:t>
      </w:r>
      <w:proofErr w:type="gramEnd"/>
    </w:p>
    <w:p w:rsidR="001B13B6" w:rsidRDefault="001B13B6" w:rsidP="001B13B6">
      <w:r>
        <w:t>Fonte: SOARES, 2009</w:t>
      </w:r>
    </w:p>
    <w:p w:rsidR="001B13B6" w:rsidRDefault="001B13B6" w:rsidP="001B13B6">
      <w:pPr>
        <w:jc w:val="both"/>
      </w:pPr>
    </w:p>
    <w:p w:rsidR="001B13B6" w:rsidRDefault="00317E5F" w:rsidP="001B13B6">
      <w:pPr>
        <w:jc w:val="both"/>
        <w:rPr>
          <w:sz w:val="24"/>
        </w:rPr>
      </w:pPr>
      <w:r w:rsidRPr="00317E5F">
        <w:rPr>
          <w:sz w:val="24"/>
        </w:rPr>
        <w:t xml:space="preserve">- </w:t>
      </w:r>
      <w:proofErr w:type="gramStart"/>
      <w:r w:rsidRPr="00317E5F">
        <w:rPr>
          <w:b/>
          <w:bCs/>
          <w:sz w:val="24"/>
        </w:rPr>
        <w:t>Cais</w:t>
      </w:r>
      <w:proofErr w:type="gramEnd"/>
      <w:r w:rsidRPr="00317E5F">
        <w:rPr>
          <w:b/>
          <w:bCs/>
          <w:sz w:val="24"/>
        </w:rPr>
        <w:t xml:space="preserve"> de Múltiplo Uso (CMU)</w:t>
      </w:r>
      <w:r w:rsidRPr="00317E5F">
        <w:rPr>
          <w:sz w:val="24"/>
        </w:rPr>
        <w:t xml:space="preserve">, </w:t>
      </w:r>
      <w:r w:rsidRPr="00317E5F">
        <w:rPr>
          <w:b/>
          <w:bCs/>
          <w:sz w:val="24"/>
        </w:rPr>
        <w:t>Cais Público ou Cais Comercial</w:t>
      </w:r>
      <w:r w:rsidRPr="00317E5F">
        <w:rPr>
          <w:sz w:val="24"/>
        </w:rPr>
        <w:t>:</w:t>
      </w:r>
      <w:r>
        <w:rPr>
          <w:sz w:val="24"/>
        </w:rPr>
        <w:t xml:space="preserve"> de acordo com informações obtidas com o Eng. </w:t>
      </w:r>
      <w:proofErr w:type="spellStart"/>
      <w:r>
        <w:rPr>
          <w:sz w:val="24"/>
        </w:rPr>
        <w:t>Kozo</w:t>
      </w:r>
      <w:proofErr w:type="spellEnd"/>
      <w:r>
        <w:rPr>
          <w:sz w:val="24"/>
        </w:rPr>
        <w:t xml:space="preserve"> </w:t>
      </w:r>
      <w:proofErr w:type="spellStart"/>
      <w:r>
        <w:rPr>
          <w:sz w:val="24"/>
        </w:rPr>
        <w:t>kawata</w:t>
      </w:r>
      <w:proofErr w:type="spellEnd"/>
      <w:r>
        <w:rPr>
          <w:sz w:val="24"/>
        </w:rPr>
        <w:t>, da APPA, em 05/07/2008, o cais é composto por 14 berços de atracação de navios, com 2.816 m de extensão de cais total acostável e profundidades de 8,70 m, 10,70 m, 13,70 m e 14,50 m, para atendimento simultâneo de vários navios. (SOARES, 2009)</w:t>
      </w:r>
    </w:p>
    <w:p w:rsidR="00E832A8" w:rsidRDefault="00E832A8" w:rsidP="00E832A8">
      <w:pPr>
        <w:keepNext/>
      </w:pPr>
      <w:r>
        <w:rPr>
          <w:noProof/>
        </w:rPr>
        <w:lastRenderedPageBreak/>
        <w:drawing>
          <wp:inline distT="0" distB="0" distL="0" distR="0" wp14:anchorId="12EE1B88" wp14:editId="53A2FEEE">
            <wp:extent cx="5765762" cy="3371850"/>
            <wp:effectExtent l="0" t="0" r="6985"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97941" cy="3390668"/>
                    </a:xfrm>
                    <a:prstGeom prst="rect">
                      <a:avLst/>
                    </a:prstGeom>
                    <a:noFill/>
                    <a:ln>
                      <a:noFill/>
                    </a:ln>
                  </pic:spPr>
                </pic:pic>
              </a:graphicData>
            </a:graphic>
          </wp:inline>
        </w:drawing>
      </w:r>
    </w:p>
    <w:p w:rsidR="00E832A8" w:rsidRDefault="00E832A8" w:rsidP="00CD615C">
      <w:pPr>
        <w:pStyle w:val="Legenda"/>
      </w:pPr>
      <w:r>
        <w:t xml:space="preserve">Figura </w:t>
      </w:r>
      <w:r w:rsidR="00702BA8">
        <w:fldChar w:fldCharType="begin"/>
      </w:r>
      <w:r w:rsidR="00702BA8">
        <w:instrText xml:space="preserve"> SEQ Figura \* ARABIC </w:instrText>
      </w:r>
      <w:r w:rsidR="00702BA8">
        <w:fldChar w:fldCharType="separate"/>
      </w:r>
      <w:r w:rsidR="00CD615C">
        <w:rPr>
          <w:noProof/>
        </w:rPr>
        <w:t>5</w:t>
      </w:r>
      <w:r w:rsidR="00702BA8">
        <w:rPr>
          <w:noProof/>
        </w:rPr>
        <w:fldChar w:fldCharType="end"/>
      </w:r>
      <w:r>
        <w:t xml:space="preserve"> </w:t>
      </w:r>
      <w:r w:rsidRPr="00E832A8">
        <w:t>- Síntese das características dos berços de atracação do Cais de Múltiplo Uso (CMU) do Porto de Paranaguá</w:t>
      </w:r>
    </w:p>
    <w:p w:rsidR="00E832A8" w:rsidRDefault="00E832A8" w:rsidP="00E832A8">
      <w:r>
        <w:t>Fonte: SOARES, 2009</w:t>
      </w:r>
    </w:p>
    <w:p w:rsidR="00E832A8" w:rsidRDefault="00E832A8" w:rsidP="00E832A8">
      <w:pPr>
        <w:jc w:val="both"/>
        <w:rPr>
          <w:b/>
        </w:rPr>
      </w:pPr>
    </w:p>
    <w:p w:rsidR="0044191B" w:rsidRDefault="0044191B" w:rsidP="0044191B">
      <w:pPr>
        <w:spacing w:before="240"/>
        <w:jc w:val="both"/>
      </w:pPr>
      <w:r>
        <w:rPr>
          <w:b/>
          <w:sz w:val="24"/>
          <w:szCs w:val="24"/>
          <w:highlight w:val="white"/>
        </w:rPr>
        <w:t xml:space="preserve">- Complexo Corredor de Exportação (CCE): </w:t>
      </w:r>
      <w:r>
        <w:rPr>
          <w:sz w:val="24"/>
          <w:szCs w:val="24"/>
          <w:highlight w:val="white"/>
        </w:rPr>
        <w:t xml:space="preserve">de acordo com Informações cedidas pelo Eng. Airton </w:t>
      </w:r>
      <w:proofErr w:type="spellStart"/>
      <w:r>
        <w:rPr>
          <w:sz w:val="24"/>
          <w:szCs w:val="24"/>
          <w:highlight w:val="white"/>
        </w:rPr>
        <w:t>Maron</w:t>
      </w:r>
      <w:proofErr w:type="spellEnd"/>
      <w:r>
        <w:rPr>
          <w:sz w:val="24"/>
          <w:szCs w:val="24"/>
          <w:highlight w:val="white"/>
        </w:rPr>
        <w:t xml:space="preserve"> em 15/5/2009, compreende nove terminais (operadores portuários) integrados, para o atendimento da exportação de granéis sólidos (principalmente grãos), situados no </w:t>
      </w:r>
      <w:proofErr w:type="spellStart"/>
      <w:r>
        <w:rPr>
          <w:sz w:val="24"/>
          <w:szCs w:val="24"/>
          <w:highlight w:val="white"/>
        </w:rPr>
        <w:t>retroporto</w:t>
      </w:r>
      <w:proofErr w:type="spellEnd"/>
      <w:r>
        <w:rPr>
          <w:sz w:val="24"/>
          <w:szCs w:val="24"/>
          <w:highlight w:val="white"/>
        </w:rPr>
        <w:t xml:space="preserve">, sendo quatro silos horizontais pertencentes e administrados pela APPA, um silo vertical com capacidade para 100.000 t estáticas, quatro silos horizontais pertencentes ao terminal da empresa Cargill, um silo horizontal pertencente ao terminal da empresa </w:t>
      </w:r>
      <w:proofErr w:type="spellStart"/>
      <w:r>
        <w:rPr>
          <w:sz w:val="24"/>
          <w:szCs w:val="24"/>
          <w:highlight w:val="white"/>
        </w:rPr>
        <w:t>Centrosul</w:t>
      </w:r>
      <w:proofErr w:type="spellEnd"/>
      <w:r>
        <w:rPr>
          <w:sz w:val="24"/>
          <w:szCs w:val="24"/>
          <w:highlight w:val="white"/>
        </w:rPr>
        <w:t xml:space="preserve">, um silo horizontal pertencente ao terminal da empresa </w:t>
      </w:r>
      <w:proofErr w:type="spellStart"/>
      <w:r>
        <w:rPr>
          <w:sz w:val="24"/>
          <w:szCs w:val="24"/>
          <w:highlight w:val="white"/>
        </w:rPr>
        <w:t>Coinbra</w:t>
      </w:r>
      <w:proofErr w:type="spellEnd"/>
      <w:r>
        <w:rPr>
          <w:sz w:val="24"/>
          <w:szCs w:val="24"/>
          <w:highlight w:val="white"/>
        </w:rPr>
        <w:t xml:space="preserve">, um silo horizontal e conjunto de </w:t>
      </w:r>
      <w:proofErr w:type="gramStart"/>
      <w:r>
        <w:rPr>
          <w:sz w:val="24"/>
          <w:szCs w:val="24"/>
          <w:highlight w:val="white"/>
        </w:rPr>
        <w:t>4</w:t>
      </w:r>
      <w:proofErr w:type="gramEnd"/>
      <w:r>
        <w:rPr>
          <w:sz w:val="24"/>
          <w:szCs w:val="24"/>
          <w:highlight w:val="white"/>
        </w:rPr>
        <w:t xml:space="preserve"> silos verticais pertencentes ao terminal da empresa CBL, três silos horizontais pertencentes ao terminal da empresa Coamo, cinco silos horizontais pertencentes ao terminal da empresa Cotriguaçu e dois silos horizontais com um conjunto de três silos verticais pertencentes ao terminal da empresa AGTL – depósito franco-paraguaio (SOARES, 2009).</w:t>
      </w:r>
    </w:p>
    <w:p w:rsidR="00D36C1E" w:rsidRDefault="00D36C1E" w:rsidP="009A5468">
      <w:pPr>
        <w:spacing w:before="240" w:after="240"/>
        <w:jc w:val="both"/>
        <w:rPr>
          <w:bCs/>
          <w:sz w:val="24"/>
        </w:rPr>
      </w:pPr>
      <w:r w:rsidRPr="00D36C1E">
        <w:rPr>
          <w:sz w:val="24"/>
        </w:rPr>
        <w:t xml:space="preserve">- </w:t>
      </w:r>
      <w:r w:rsidRPr="00D36C1E">
        <w:rPr>
          <w:b/>
          <w:bCs/>
          <w:sz w:val="24"/>
        </w:rPr>
        <w:t>Terminal Público de Álcool</w:t>
      </w:r>
      <w:r w:rsidRPr="00D36C1E">
        <w:rPr>
          <w:bCs/>
          <w:sz w:val="24"/>
        </w:rPr>
        <w:t>:</w:t>
      </w:r>
      <w:r>
        <w:rPr>
          <w:bCs/>
          <w:sz w:val="24"/>
        </w:rPr>
        <w:t xml:space="preserve"> ainda </w:t>
      </w:r>
      <w:r>
        <w:rPr>
          <w:sz w:val="24"/>
        </w:rPr>
        <w:t xml:space="preserve">de acordo com </w:t>
      </w:r>
      <w:r w:rsidRPr="00D36C1E">
        <w:rPr>
          <w:sz w:val="24"/>
        </w:rPr>
        <w:t>Informaç</w:t>
      </w:r>
      <w:r>
        <w:rPr>
          <w:sz w:val="24"/>
        </w:rPr>
        <w:t>ões</w:t>
      </w:r>
      <w:r w:rsidRPr="00D36C1E">
        <w:rPr>
          <w:sz w:val="24"/>
        </w:rPr>
        <w:t xml:space="preserve"> </w:t>
      </w:r>
      <w:r>
        <w:rPr>
          <w:sz w:val="24"/>
        </w:rPr>
        <w:t>obtidas</w:t>
      </w:r>
      <w:r w:rsidRPr="00D36C1E">
        <w:rPr>
          <w:sz w:val="24"/>
        </w:rPr>
        <w:t xml:space="preserve"> pelo</w:t>
      </w:r>
      <w:r>
        <w:rPr>
          <w:sz w:val="24"/>
        </w:rPr>
        <w:t xml:space="preserve"> </w:t>
      </w:r>
      <w:r w:rsidRPr="00D36C1E">
        <w:rPr>
          <w:sz w:val="24"/>
        </w:rPr>
        <w:t xml:space="preserve">Eng. Airton </w:t>
      </w:r>
      <w:proofErr w:type="spellStart"/>
      <w:r w:rsidRPr="00D36C1E">
        <w:rPr>
          <w:sz w:val="24"/>
        </w:rPr>
        <w:t>Maron</w:t>
      </w:r>
      <w:proofErr w:type="spellEnd"/>
      <w:r w:rsidRPr="00D36C1E">
        <w:rPr>
          <w:sz w:val="24"/>
        </w:rPr>
        <w:t xml:space="preserve"> em 15/5/2009</w:t>
      </w:r>
      <w:r>
        <w:rPr>
          <w:sz w:val="24"/>
        </w:rPr>
        <w:t xml:space="preserve">, </w:t>
      </w:r>
      <w:r w:rsidRPr="00D36C1E">
        <w:rPr>
          <w:bCs/>
          <w:sz w:val="24"/>
        </w:rPr>
        <w:t>é um terminal para mo</w:t>
      </w:r>
      <w:r w:rsidR="0069269C">
        <w:rPr>
          <w:bCs/>
          <w:sz w:val="24"/>
        </w:rPr>
        <w:t>vimentação de granéis líquidos</w:t>
      </w:r>
      <w:r w:rsidRPr="00D36C1E">
        <w:rPr>
          <w:bCs/>
          <w:sz w:val="24"/>
        </w:rPr>
        <w:t xml:space="preserve">, </w:t>
      </w:r>
      <w:r w:rsidRPr="00D36C1E">
        <w:rPr>
          <w:bCs/>
          <w:sz w:val="24"/>
        </w:rPr>
        <w:lastRenderedPageBreak/>
        <w:t>mais especificamente o álcool. Consiste em instalações de armazenagem (tanques de 43.000m</w:t>
      </w:r>
      <w:r w:rsidRPr="00D36C1E">
        <w:rPr>
          <w:bCs/>
          <w:sz w:val="24"/>
          <w:vertAlign w:val="superscript"/>
        </w:rPr>
        <w:t>3</w:t>
      </w:r>
      <w:r w:rsidRPr="00D36C1E">
        <w:rPr>
          <w:bCs/>
          <w:sz w:val="24"/>
        </w:rPr>
        <w:t xml:space="preserve">) interligados ao píer de inflamáveis da APPA, também utilizado pela </w:t>
      </w:r>
      <w:proofErr w:type="spellStart"/>
      <w:r w:rsidRPr="00D36C1E">
        <w:rPr>
          <w:bCs/>
          <w:sz w:val="24"/>
        </w:rPr>
        <w:t>Transpetro</w:t>
      </w:r>
      <w:proofErr w:type="spellEnd"/>
      <w:r w:rsidRPr="00D36C1E">
        <w:rPr>
          <w:bCs/>
          <w:sz w:val="24"/>
        </w:rPr>
        <w:t xml:space="preserve">, </w:t>
      </w:r>
      <w:proofErr w:type="spellStart"/>
      <w:r w:rsidRPr="00D36C1E">
        <w:rPr>
          <w:bCs/>
          <w:sz w:val="24"/>
        </w:rPr>
        <w:t>Cattalini</w:t>
      </w:r>
      <w:proofErr w:type="spellEnd"/>
      <w:r w:rsidRPr="00D36C1E">
        <w:rPr>
          <w:bCs/>
          <w:sz w:val="24"/>
        </w:rPr>
        <w:t xml:space="preserve"> e União </w:t>
      </w:r>
      <w:proofErr w:type="spellStart"/>
      <w:r w:rsidRPr="00D36C1E">
        <w:rPr>
          <w:bCs/>
          <w:sz w:val="24"/>
        </w:rPr>
        <w:t>Vopak</w:t>
      </w:r>
      <w:proofErr w:type="spellEnd"/>
      <w:r w:rsidRPr="00D36C1E">
        <w:rPr>
          <w:bCs/>
          <w:sz w:val="24"/>
        </w:rPr>
        <w:t>.</w:t>
      </w:r>
      <w:r>
        <w:rPr>
          <w:bCs/>
          <w:sz w:val="24"/>
        </w:rPr>
        <w:t xml:space="preserve"> </w:t>
      </w:r>
      <w:r w:rsidRPr="00D36C1E">
        <w:rPr>
          <w:bCs/>
          <w:sz w:val="24"/>
        </w:rPr>
        <w:t>A capacidade operacional do terminal é de 15.000 m</w:t>
      </w:r>
      <w:r w:rsidRPr="00D36C1E">
        <w:rPr>
          <w:bCs/>
          <w:sz w:val="24"/>
          <w:vertAlign w:val="superscript"/>
        </w:rPr>
        <w:t>3</w:t>
      </w:r>
      <w:r w:rsidR="0044191B">
        <w:rPr>
          <w:bCs/>
          <w:sz w:val="24"/>
        </w:rPr>
        <w:t>/dia</w:t>
      </w:r>
      <w:r>
        <w:rPr>
          <w:bCs/>
          <w:sz w:val="24"/>
        </w:rPr>
        <w:t xml:space="preserve"> (SOARES, 2009)</w:t>
      </w:r>
      <w:r w:rsidR="0044191B">
        <w:rPr>
          <w:bCs/>
          <w:sz w:val="24"/>
        </w:rPr>
        <w:t>.</w:t>
      </w:r>
    </w:p>
    <w:p w:rsidR="00F23EA2" w:rsidRDefault="00F23EA2" w:rsidP="00F23EA2">
      <w:pPr>
        <w:spacing w:after="240"/>
        <w:jc w:val="both"/>
      </w:pPr>
      <w:r>
        <w:rPr>
          <w:sz w:val="24"/>
          <w:szCs w:val="24"/>
          <w:highlight w:val="white"/>
        </w:rPr>
        <w:t xml:space="preserve">- </w:t>
      </w:r>
      <w:r>
        <w:rPr>
          <w:b/>
          <w:sz w:val="24"/>
          <w:szCs w:val="24"/>
          <w:highlight w:val="white"/>
        </w:rPr>
        <w:t xml:space="preserve">Terminal Público de Importação de Granéis Sólidos: </w:t>
      </w:r>
      <w:r>
        <w:rPr>
          <w:sz w:val="24"/>
          <w:szCs w:val="24"/>
          <w:highlight w:val="white"/>
        </w:rPr>
        <w:t>é destinado ao atendimento das operações de descarga de navios com granéis sólidos, mais especificamente de fertilizantes. Esse terminal é um conjunto de tremonhas (funis), dispostos junto ao berço de atracação n° 209 do CMU, cujo conjunto alimentará uma correia transportadora que interliga o cais com as instalações de armazenagem do terminal com capacidade de 30.000 t, e/ou para distribuição, também por correias transportadoras, a instalações de armazenagem de terminais privados. A operação de descarga será efetuada por guindastes móveis, de operadores portuários privados, devidamente credenciados. As demais operações, como transporte, armazenagem e/ou distribuição e entrega da mercadoria a caminhões e/ou vagões deverão ser de responsabilidade da APPA. A capacidade de descarga do terminal é de 20.000 t/dia (SOARES, 2009).</w:t>
      </w:r>
    </w:p>
    <w:p w:rsidR="00F23EA2" w:rsidRDefault="00F23EA2" w:rsidP="00F23EA2">
      <w:pPr>
        <w:spacing w:before="240"/>
        <w:jc w:val="both"/>
      </w:pPr>
      <w:r>
        <w:rPr>
          <w:b/>
          <w:sz w:val="24"/>
          <w:szCs w:val="24"/>
          <w:highlight w:val="white"/>
        </w:rPr>
        <w:t>- Terminal Público de Veículos</w:t>
      </w:r>
      <w:r>
        <w:rPr>
          <w:sz w:val="24"/>
          <w:szCs w:val="24"/>
          <w:highlight w:val="white"/>
        </w:rPr>
        <w:t>: é um pátio para armazenamento de veículos movimentados no porto em implantação, de forma a atender o fluxo de exportação e importação, localizado em frente à sede administrativa da APPA, com área de 28.600m</w:t>
      </w:r>
      <w:r>
        <w:rPr>
          <w:sz w:val="24"/>
          <w:szCs w:val="24"/>
          <w:highlight w:val="white"/>
          <w:vertAlign w:val="superscript"/>
        </w:rPr>
        <w:t>2</w:t>
      </w:r>
      <w:r>
        <w:rPr>
          <w:sz w:val="24"/>
          <w:szCs w:val="24"/>
          <w:highlight w:val="white"/>
        </w:rPr>
        <w:t>, pavimentado com blocos de concreto. A capacidade estática de armazenamento é de 1200 automóveis, sendo de propriedade, administrado e operado pela APPA (SOARES, 2009).</w:t>
      </w:r>
    </w:p>
    <w:p w:rsidR="00F23EA2" w:rsidRDefault="00F23EA2" w:rsidP="00F23EA2">
      <w:pPr>
        <w:spacing w:before="240" w:after="240"/>
        <w:jc w:val="both"/>
      </w:pPr>
      <w:r>
        <w:rPr>
          <w:b/>
          <w:sz w:val="24"/>
          <w:szCs w:val="24"/>
          <w:highlight w:val="white"/>
        </w:rPr>
        <w:t>- Pátio de Triagem</w:t>
      </w:r>
      <w:r>
        <w:rPr>
          <w:sz w:val="24"/>
          <w:szCs w:val="24"/>
          <w:highlight w:val="white"/>
        </w:rPr>
        <w:t xml:space="preserve">: segundo o Eng. Airton </w:t>
      </w:r>
      <w:proofErr w:type="spellStart"/>
      <w:r>
        <w:rPr>
          <w:sz w:val="24"/>
          <w:szCs w:val="24"/>
          <w:highlight w:val="white"/>
        </w:rPr>
        <w:t>Maron</w:t>
      </w:r>
      <w:proofErr w:type="spellEnd"/>
      <w:r>
        <w:rPr>
          <w:sz w:val="24"/>
          <w:szCs w:val="24"/>
          <w:highlight w:val="white"/>
        </w:rPr>
        <w:t xml:space="preserve"> em 15/5/2009, é uma área situada próxima à BR-277, administrada pela APPA, por onde passam todos os caminhões que chegam a Paranaguá, carregados com granéis, com capacidade para receber 1.000 caminhões simultaneamente. Existem quatro guichês que </w:t>
      </w:r>
      <w:proofErr w:type="gramStart"/>
      <w:r>
        <w:rPr>
          <w:sz w:val="24"/>
          <w:szCs w:val="24"/>
          <w:highlight w:val="white"/>
        </w:rPr>
        <w:t>agilizam</w:t>
      </w:r>
      <w:proofErr w:type="gramEnd"/>
      <w:r>
        <w:rPr>
          <w:sz w:val="24"/>
          <w:szCs w:val="24"/>
          <w:highlight w:val="white"/>
        </w:rPr>
        <w:t xml:space="preserve"> a entrada e o cadastro dos caminhões e a empresa </w:t>
      </w:r>
      <w:proofErr w:type="spellStart"/>
      <w:r>
        <w:rPr>
          <w:sz w:val="24"/>
          <w:szCs w:val="24"/>
          <w:highlight w:val="white"/>
        </w:rPr>
        <w:t>Claspar</w:t>
      </w:r>
      <w:proofErr w:type="spellEnd"/>
      <w:r>
        <w:rPr>
          <w:sz w:val="24"/>
          <w:szCs w:val="24"/>
          <w:highlight w:val="white"/>
        </w:rPr>
        <w:t xml:space="preserve"> classifica a tipologia das cargas. Vários serviços são prestados aos caminhoneiros e suas famílias, como cantinas, atendimento odontológico, entre outros serviços (SOARES, 2009).</w:t>
      </w:r>
    </w:p>
    <w:p w:rsidR="00F23EA2" w:rsidRDefault="00F23EA2" w:rsidP="00F23EA2">
      <w:pPr>
        <w:spacing w:after="240"/>
        <w:jc w:val="both"/>
      </w:pPr>
      <w:r>
        <w:rPr>
          <w:sz w:val="24"/>
          <w:szCs w:val="24"/>
          <w:highlight w:val="white"/>
        </w:rPr>
        <w:lastRenderedPageBreak/>
        <w:t xml:space="preserve">- </w:t>
      </w:r>
      <w:r>
        <w:rPr>
          <w:b/>
          <w:sz w:val="24"/>
          <w:szCs w:val="24"/>
          <w:highlight w:val="white"/>
        </w:rPr>
        <w:t>Plataforma Aduaneira (ou Plataforma Logística ou Condomínio Industrial)</w:t>
      </w:r>
      <w:r>
        <w:rPr>
          <w:sz w:val="24"/>
          <w:szCs w:val="24"/>
          <w:highlight w:val="white"/>
        </w:rPr>
        <w:t xml:space="preserve">: para o Eng. Airton </w:t>
      </w:r>
      <w:proofErr w:type="spellStart"/>
      <w:r>
        <w:rPr>
          <w:sz w:val="24"/>
          <w:szCs w:val="24"/>
          <w:highlight w:val="white"/>
        </w:rPr>
        <w:t>Maron</w:t>
      </w:r>
      <w:proofErr w:type="spellEnd"/>
      <w:r>
        <w:rPr>
          <w:sz w:val="24"/>
          <w:szCs w:val="24"/>
          <w:highlight w:val="white"/>
        </w:rPr>
        <w:t>, trata-se da utilização produtiva de área de propriedade da APPA, disponível no extremo leste do porto, criada através de deposição de sedimentos dragados ao longo do tempo (área de deposição) (SOARES, 2009).</w:t>
      </w:r>
    </w:p>
    <w:p w:rsidR="00F23EA2" w:rsidRDefault="00F23EA2" w:rsidP="00F23EA2">
      <w:pPr>
        <w:spacing w:before="240"/>
        <w:jc w:val="both"/>
      </w:pPr>
      <w:r>
        <w:rPr>
          <w:sz w:val="24"/>
          <w:szCs w:val="24"/>
          <w:highlight w:val="white"/>
        </w:rPr>
        <w:t xml:space="preserve">- </w:t>
      </w:r>
      <w:r>
        <w:rPr>
          <w:b/>
          <w:sz w:val="24"/>
          <w:szCs w:val="24"/>
          <w:highlight w:val="white"/>
        </w:rPr>
        <w:t>Terminal de Contêineres de Paranaguá (TCP)</w:t>
      </w:r>
      <w:r>
        <w:rPr>
          <w:sz w:val="24"/>
          <w:szCs w:val="24"/>
          <w:highlight w:val="white"/>
        </w:rPr>
        <w:t xml:space="preserve">: </w:t>
      </w:r>
      <w:proofErr w:type="gramStart"/>
      <w:r>
        <w:rPr>
          <w:sz w:val="24"/>
          <w:szCs w:val="24"/>
          <w:highlight w:val="white"/>
        </w:rPr>
        <w:t>conta</w:t>
      </w:r>
      <w:proofErr w:type="gramEnd"/>
      <w:r>
        <w:rPr>
          <w:sz w:val="24"/>
          <w:szCs w:val="24"/>
          <w:highlight w:val="white"/>
        </w:rPr>
        <w:t xml:space="preserve"> com um pátio de 330.000 m</w:t>
      </w:r>
      <w:r>
        <w:rPr>
          <w:sz w:val="24"/>
          <w:szCs w:val="24"/>
          <w:highlight w:val="white"/>
          <w:vertAlign w:val="superscript"/>
        </w:rPr>
        <w:t>2</w:t>
      </w:r>
      <w:r>
        <w:rPr>
          <w:sz w:val="24"/>
          <w:szCs w:val="24"/>
          <w:highlight w:val="white"/>
        </w:rPr>
        <w:t xml:space="preserve">, exclusivos para a movimentação de contêineres, com 2.500 tomadas </w:t>
      </w:r>
      <w:proofErr w:type="spellStart"/>
      <w:r>
        <w:rPr>
          <w:i/>
          <w:sz w:val="24"/>
          <w:szCs w:val="24"/>
          <w:highlight w:val="white"/>
        </w:rPr>
        <w:t>reefer</w:t>
      </w:r>
      <w:proofErr w:type="spellEnd"/>
      <w:r>
        <w:rPr>
          <w:i/>
          <w:sz w:val="24"/>
          <w:szCs w:val="24"/>
          <w:highlight w:val="white"/>
        </w:rPr>
        <w:t xml:space="preserve"> </w:t>
      </w:r>
      <w:r>
        <w:rPr>
          <w:sz w:val="24"/>
          <w:szCs w:val="24"/>
          <w:highlight w:val="white"/>
        </w:rPr>
        <w:t xml:space="preserve">(para contêineres de refrigeração), cinco portões de acesso dotados de balanças, totalmente informatizados e ligados a um sistema integrado de controle, que abrange todo o terminal (EDI - </w:t>
      </w:r>
      <w:r>
        <w:rPr>
          <w:i/>
          <w:sz w:val="24"/>
          <w:szCs w:val="24"/>
          <w:highlight w:val="white"/>
        </w:rPr>
        <w:t xml:space="preserve">Eletronic Data </w:t>
      </w:r>
      <w:proofErr w:type="spellStart"/>
      <w:r>
        <w:rPr>
          <w:i/>
          <w:sz w:val="24"/>
          <w:szCs w:val="24"/>
          <w:highlight w:val="white"/>
        </w:rPr>
        <w:t>Information</w:t>
      </w:r>
      <w:proofErr w:type="spellEnd"/>
      <w:r>
        <w:rPr>
          <w:sz w:val="24"/>
          <w:szCs w:val="24"/>
          <w:highlight w:val="white"/>
        </w:rPr>
        <w:t>), possuindo ainda um armazém coberto alfandegado de 12.000 m</w:t>
      </w:r>
      <w:r>
        <w:rPr>
          <w:sz w:val="24"/>
          <w:szCs w:val="24"/>
          <w:highlight w:val="white"/>
          <w:vertAlign w:val="superscript"/>
        </w:rPr>
        <w:t>2</w:t>
      </w:r>
      <w:r>
        <w:rPr>
          <w:sz w:val="24"/>
          <w:szCs w:val="24"/>
          <w:highlight w:val="white"/>
        </w:rPr>
        <w:t xml:space="preserve"> (SOARES, 2009).        </w:t>
      </w:r>
      <w:r>
        <w:rPr>
          <w:sz w:val="24"/>
          <w:szCs w:val="24"/>
          <w:highlight w:val="white"/>
        </w:rPr>
        <w:tab/>
      </w:r>
    </w:p>
    <w:p w:rsidR="00F23EA2" w:rsidRDefault="00F23EA2" w:rsidP="00F23EA2">
      <w:pPr>
        <w:spacing w:before="240" w:after="240"/>
        <w:jc w:val="both"/>
      </w:pPr>
      <w:r>
        <w:rPr>
          <w:sz w:val="24"/>
          <w:szCs w:val="24"/>
          <w:highlight w:val="white"/>
        </w:rPr>
        <w:t xml:space="preserve">- </w:t>
      </w:r>
      <w:proofErr w:type="spellStart"/>
      <w:r>
        <w:rPr>
          <w:b/>
          <w:sz w:val="24"/>
          <w:szCs w:val="24"/>
          <w:highlight w:val="white"/>
        </w:rPr>
        <w:t>Cattalini</w:t>
      </w:r>
      <w:proofErr w:type="spellEnd"/>
      <w:r>
        <w:rPr>
          <w:b/>
          <w:sz w:val="24"/>
          <w:szCs w:val="24"/>
          <w:highlight w:val="white"/>
        </w:rPr>
        <w:t xml:space="preserve"> Terminais Marítimos</w:t>
      </w:r>
      <w:r>
        <w:rPr>
          <w:sz w:val="24"/>
          <w:szCs w:val="24"/>
          <w:highlight w:val="white"/>
        </w:rPr>
        <w:t xml:space="preserve">: segundo as informações prestadas pelo Sr. Cláudio </w:t>
      </w:r>
      <w:proofErr w:type="spellStart"/>
      <w:r>
        <w:rPr>
          <w:sz w:val="24"/>
          <w:szCs w:val="24"/>
          <w:highlight w:val="white"/>
        </w:rPr>
        <w:t>Daudt</w:t>
      </w:r>
      <w:proofErr w:type="spellEnd"/>
      <w:r>
        <w:rPr>
          <w:sz w:val="24"/>
          <w:szCs w:val="24"/>
          <w:highlight w:val="white"/>
        </w:rPr>
        <w:t xml:space="preserve"> em 30/11/2007, é um terminal privado dentro da APO de Paranaguá, especializado no armazenamento de granéis líquidos possuindo dois terminais conectados, denominados Terminal </w:t>
      </w:r>
      <w:proofErr w:type="gramStart"/>
      <w:r>
        <w:rPr>
          <w:sz w:val="24"/>
          <w:szCs w:val="24"/>
          <w:highlight w:val="white"/>
        </w:rPr>
        <w:t>1</w:t>
      </w:r>
      <w:proofErr w:type="gramEnd"/>
      <w:r>
        <w:rPr>
          <w:sz w:val="24"/>
          <w:szCs w:val="24"/>
          <w:highlight w:val="white"/>
        </w:rPr>
        <w:t>, com capacidade para armazenagem de 184.000 m</w:t>
      </w:r>
      <w:r>
        <w:rPr>
          <w:sz w:val="24"/>
          <w:szCs w:val="24"/>
          <w:highlight w:val="white"/>
          <w:vertAlign w:val="superscript"/>
        </w:rPr>
        <w:t xml:space="preserve">3 </w:t>
      </w:r>
      <w:r>
        <w:rPr>
          <w:sz w:val="24"/>
          <w:szCs w:val="24"/>
          <w:highlight w:val="white"/>
        </w:rPr>
        <w:t>(dividido em cinquenta tanques) e Terminal 2, exclusivo para a movimentação de óleos vegetais, com capacidade de armazenagem de 90.000 m</w:t>
      </w:r>
      <w:r>
        <w:rPr>
          <w:sz w:val="24"/>
          <w:szCs w:val="24"/>
          <w:highlight w:val="white"/>
          <w:vertAlign w:val="superscript"/>
        </w:rPr>
        <w:t xml:space="preserve">3 </w:t>
      </w:r>
      <w:r>
        <w:rPr>
          <w:sz w:val="24"/>
          <w:szCs w:val="24"/>
          <w:highlight w:val="white"/>
        </w:rPr>
        <w:t>(dividido em vinte e nove tanques) (SOARES, 2009).</w:t>
      </w:r>
    </w:p>
    <w:p w:rsidR="00F23EA2" w:rsidRDefault="00F23EA2" w:rsidP="00F23EA2">
      <w:pPr>
        <w:spacing w:after="240"/>
        <w:jc w:val="both"/>
      </w:pPr>
      <w:r>
        <w:rPr>
          <w:sz w:val="24"/>
          <w:szCs w:val="24"/>
          <w:highlight w:val="white"/>
        </w:rPr>
        <w:t xml:space="preserve">- </w:t>
      </w:r>
      <w:r>
        <w:rPr>
          <w:b/>
          <w:sz w:val="24"/>
          <w:szCs w:val="24"/>
          <w:highlight w:val="white"/>
        </w:rPr>
        <w:t>Terminal de Paranaguá (TEPAR)</w:t>
      </w:r>
      <w:r>
        <w:rPr>
          <w:sz w:val="24"/>
          <w:szCs w:val="24"/>
          <w:highlight w:val="white"/>
        </w:rPr>
        <w:t xml:space="preserve">: segundo as informações prestadas pelo Sr. Pedro Paulo Becker, gerente do terminal, em 12/12/2008, o terminal é operado pela </w:t>
      </w:r>
      <w:proofErr w:type="spellStart"/>
      <w:r>
        <w:rPr>
          <w:sz w:val="24"/>
          <w:szCs w:val="24"/>
          <w:highlight w:val="white"/>
        </w:rPr>
        <w:t>Transpetro</w:t>
      </w:r>
      <w:proofErr w:type="spellEnd"/>
      <w:r>
        <w:rPr>
          <w:sz w:val="24"/>
          <w:szCs w:val="24"/>
          <w:highlight w:val="white"/>
        </w:rPr>
        <w:t xml:space="preserve">, subsidiária integral da Petrobras, que atua no transporte e armazenagem de petróleo, derivados e gás, por meio de dutos, navios e na operação de terminais terrestres e </w:t>
      </w:r>
      <w:proofErr w:type="spellStart"/>
      <w:r>
        <w:rPr>
          <w:sz w:val="24"/>
          <w:szCs w:val="24"/>
          <w:highlight w:val="white"/>
        </w:rPr>
        <w:t>aquaviários</w:t>
      </w:r>
      <w:proofErr w:type="spellEnd"/>
      <w:r>
        <w:rPr>
          <w:sz w:val="24"/>
          <w:szCs w:val="24"/>
          <w:highlight w:val="white"/>
        </w:rPr>
        <w:t>. A área é arrendada pela APPA e o píer é público. O TEPAR possui uma área de 182.841 m</w:t>
      </w:r>
      <w:r>
        <w:rPr>
          <w:sz w:val="24"/>
          <w:szCs w:val="24"/>
          <w:highlight w:val="white"/>
          <w:vertAlign w:val="superscript"/>
        </w:rPr>
        <w:t>2</w:t>
      </w:r>
      <w:r>
        <w:rPr>
          <w:sz w:val="24"/>
          <w:szCs w:val="24"/>
          <w:highlight w:val="white"/>
        </w:rPr>
        <w:t>, na qual existem trinta e três tanques para a armazenagem de derivados de petróleo (claros e escuros) com capacidade de 169.000 m</w:t>
      </w:r>
      <w:r>
        <w:rPr>
          <w:sz w:val="24"/>
          <w:szCs w:val="24"/>
          <w:highlight w:val="white"/>
          <w:vertAlign w:val="superscript"/>
        </w:rPr>
        <w:t>3</w:t>
      </w:r>
      <w:r>
        <w:rPr>
          <w:sz w:val="24"/>
          <w:szCs w:val="24"/>
          <w:highlight w:val="white"/>
        </w:rPr>
        <w:t xml:space="preserve">, três </w:t>
      </w:r>
      <w:proofErr w:type="gramStart"/>
      <w:r>
        <w:rPr>
          <w:sz w:val="24"/>
          <w:szCs w:val="24"/>
          <w:highlight w:val="white"/>
        </w:rPr>
        <w:t>esferas para gás GLP pressurizado com capacidade de 7.500 m</w:t>
      </w:r>
      <w:r>
        <w:rPr>
          <w:sz w:val="24"/>
          <w:szCs w:val="24"/>
          <w:highlight w:val="white"/>
          <w:vertAlign w:val="superscript"/>
        </w:rPr>
        <w:t xml:space="preserve">3 </w:t>
      </w:r>
      <w:r>
        <w:rPr>
          <w:sz w:val="24"/>
          <w:szCs w:val="24"/>
          <w:highlight w:val="white"/>
        </w:rPr>
        <w:t>e 40.200 m</w:t>
      </w:r>
      <w:r>
        <w:rPr>
          <w:sz w:val="24"/>
          <w:szCs w:val="24"/>
          <w:highlight w:val="white"/>
          <w:vertAlign w:val="superscript"/>
        </w:rPr>
        <w:t>3</w:t>
      </w:r>
      <w:proofErr w:type="gramEnd"/>
      <w:r>
        <w:rPr>
          <w:sz w:val="24"/>
          <w:szCs w:val="24"/>
          <w:highlight w:val="white"/>
          <w:vertAlign w:val="superscript"/>
        </w:rPr>
        <w:t xml:space="preserve"> </w:t>
      </w:r>
      <w:r>
        <w:rPr>
          <w:sz w:val="24"/>
          <w:szCs w:val="24"/>
          <w:highlight w:val="white"/>
        </w:rPr>
        <w:t xml:space="preserve">para </w:t>
      </w:r>
      <w:proofErr w:type="spellStart"/>
      <w:r>
        <w:rPr>
          <w:sz w:val="24"/>
          <w:szCs w:val="24"/>
          <w:highlight w:val="white"/>
        </w:rPr>
        <w:t>tancagem</w:t>
      </w:r>
      <w:proofErr w:type="spellEnd"/>
      <w:r>
        <w:rPr>
          <w:sz w:val="24"/>
          <w:szCs w:val="24"/>
          <w:highlight w:val="white"/>
        </w:rPr>
        <w:t xml:space="preserve"> de escuros. O Terminal de Paranaguá da </w:t>
      </w:r>
      <w:proofErr w:type="spellStart"/>
      <w:r>
        <w:rPr>
          <w:sz w:val="24"/>
          <w:szCs w:val="24"/>
          <w:highlight w:val="white"/>
        </w:rPr>
        <w:t>Transpetro</w:t>
      </w:r>
      <w:proofErr w:type="spellEnd"/>
      <w:r>
        <w:rPr>
          <w:sz w:val="24"/>
          <w:szCs w:val="24"/>
          <w:highlight w:val="white"/>
        </w:rPr>
        <w:t xml:space="preserve"> interliga-se com a Refinaria Getúlio Vargas (REPAR), no Município de Araucária, situado no primeiro planalto paranaense, através do oleoduto denominado OLAPA, com 98 km de extensão e diâmetro interno de 12 polegadas, onde são movimentados gasolina, óleo diesel, nafta, gás GLP e metanol, entre outros, com vazões máximas de 450 m</w:t>
      </w:r>
      <w:r>
        <w:rPr>
          <w:sz w:val="24"/>
          <w:szCs w:val="24"/>
          <w:highlight w:val="white"/>
          <w:vertAlign w:val="superscript"/>
        </w:rPr>
        <w:t>3</w:t>
      </w:r>
      <w:r>
        <w:rPr>
          <w:sz w:val="24"/>
          <w:szCs w:val="24"/>
          <w:highlight w:val="white"/>
        </w:rPr>
        <w:t>/h (SOARES, 2009).</w:t>
      </w:r>
    </w:p>
    <w:p w:rsidR="00F23EA2" w:rsidRDefault="00F23EA2" w:rsidP="00F23EA2">
      <w:pPr>
        <w:spacing w:before="240"/>
        <w:jc w:val="both"/>
      </w:pPr>
      <w:r>
        <w:rPr>
          <w:sz w:val="24"/>
          <w:szCs w:val="24"/>
          <w:highlight w:val="white"/>
        </w:rPr>
        <w:lastRenderedPageBreak/>
        <w:t xml:space="preserve">- </w:t>
      </w:r>
      <w:r>
        <w:rPr>
          <w:b/>
          <w:sz w:val="24"/>
          <w:szCs w:val="24"/>
          <w:highlight w:val="white"/>
        </w:rPr>
        <w:t xml:space="preserve">União </w:t>
      </w:r>
      <w:proofErr w:type="spellStart"/>
      <w:r>
        <w:rPr>
          <w:b/>
          <w:sz w:val="24"/>
          <w:szCs w:val="24"/>
          <w:highlight w:val="white"/>
        </w:rPr>
        <w:t>Vopak</w:t>
      </w:r>
      <w:proofErr w:type="spellEnd"/>
      <w:r>
        <w:rPr>
          <w:sz w:val="24"/>
          <w:szCs w:val="24"/>
          <w:highlight w:val="white"/>
        </w:rPr>
        <w:t xml:space="preserve">: segundo as informações prestadas pelo Sr. Sérgio Marcos Monteiro, gerente do terminal, em 7/4/2009, a União </w:t>
      </w:r>
      <w:proofErr w:type="spellStart"/>
      <w:r>
        <w:rPr>
          <w:sz w:val="24"/>
          <w:szCs w:val="24"/>
          <w:highlight w:val="white"/>
        </w:rPr>
        <w:t>Vopak</w:t>
      </w:r>
      <w:proofErr w:type="spellEnd"/>
      <w:r>
        <w:rPr>
          <w:sz w:val="24"/>
          <w:szCs w:val="24"/>
          <w:highlight w:val="white"/>
        </w:rPr>
        <w:t xml:space="preserve"> é um terminal de uso privativo, composto por dois terminais interligados, com capacidade física para o armazenamento de produtos químicos num total de 60.000 m</w:t>
      </w:r>
      <w:r>
        <w:rPr>
          <w:sz w:val="24"/>
          <w:szCs w:val="24"/>
          <w:highlight w:val="white"/>
          <w:vertAlign w:val="superscript"/>
        </w:rPr>
        <w:t>3</w:t>
      </w:r>
      <w:r>
        <w:rPr>
          <w:sz w:val="24"/>
          <w:szCs w:val="24"/>
          <w:highlight w:val="white"/>
        </w:rPr>
        <w:t>. O Terminal I conta com treze tanques de carbono, com capacidade de 36.000 m</w:t>
      </w:r>
      <w:r>
        <w:rPr>
          <w:sz w:val="24"/>
          <w:szCs w:val="24"/>
          <w:highlight w:val="white"/>
          <w:vertAlign w:val="superscript"/>
        </w:rPr>
        <w:t>3</w:t>
      </w:r>
      <w:r>
        <w:rPr>
          <w:sz w:val="24"/>
          <w:szCs w:val="24"/>
          <w:highlight w:val="white"/>
        </w:rPr>
        <w:t xml:space="preserve">, onde há conexão com distintos modais, como o rodoviário, ferroviário, marítimo e </w:t>
      </w:r>
      <w:r>
        <w:rPr>
          <w:i/>
          <w:sz w:val="24"/>
          <w:szCs w:val="24"/>
          <w:highlight w:val="white"/>
        </w:rPr>
        <w:t>pipeline</w:t>
      </w:r>
      <w:r>
        <w:rPr>
          <w:sz w:val="24"/>
          <w:szCs w:val="24"/>
          <w:highlight w:val="white"/>
        </w:rPr>
        <w:t>. No modal ferroviário, conta com quatro linhas independentes para a descarga de até trinta e dois vagões simultâneos. O Terminal II possui doze tanques, com capacidade de 24.000 m</w:t>
      </w:r>
      <w:r>
        <w:rPr>
          <w:sz w:val="24"/>
          <w:szCs w:val="24"/>
          <w:highlight w:val="white"/>
          <w:vertAlign w:val="superscript"/>
        </w:rPr>
        <w:t>3</w:t>
      </w:r>
      <w:r>
        <w:rPr>
          <w:sz w:val="24"/>
          <w:szCs w:val="24"/>
          <w:highlight w:val="white"/>
        </w:rPr>
        <w:t xml:space="preserve">, cuja estrutura integrada permite operações de carga e descarga de navios diretamente no píer, que é compartilhado com a </w:t>
      </w:r>
      <w:proofErr w:type="spellStart"/>
      <w:r>
        <w:rPr>
          <w:sz w:val="24"/>
          <w:szCs w:val="24"/>
          <w:highlight w:val="white"/>
        </w:rPr>
        <w:t>Cattalini</w:t>
      </w:r>
      <w:proofErr w:type="spellEnd"/>
      <w:r>
        <w:rPr>
          <w:sz w:val="24"/>
          <w:szCs w:val="24"/>
          <w:highlight w:val="white"/>
        </w:rPr>
        <w:t xml:space="preserve"> Terminais Marítimos e o TEPAR. (SOARES, 2009)</w:t>
      </w:r>
    </w:p>
    <w:p w:rsidR="00F23EA2" w:rsidRDefault="00F23EA2" w:rsidP="00F23EA2">
      <w:pPr>
        <w:spacing w:before="240" w:after="240"/>
        <w:jc w:val="both"/>
      </w:pPr>
      <w:r>
        <w:rPr>
          <w:sz w:val="24"/>
          <w:szCs w:val="24"/>
          <w:highlight w:val="white"/>
        </w:rPr>
        <w:t xml:space="preserve">- </w:t>
      </w:r>
      <w:proofErr w:type="spellStart"/>
      <w:r>
        <w:rPr>
          <w:b/>
          <w:sz w:val="24"/>
          <w:szCs w:val="24"/>
          <w:highlight w:val="white"/>
        </w:rPr>
        <w:t>Fospar</w:t>
      </w:r>
      <w:proofErr w:type="spellEnd"/>
      <w:r>
        <w:rPr>
          <w:sz w:val="24"/>
          <w:szCs w:val="24"/>
          <w:highlight w:val="white"/>
        </w:rPr>
        <w:t xml:space="preserve">: segundo as informações prestadas pelo Sr. Oswaldo Andrade, gerente operacional do terminal, em 30/11/2007, é um terminal privativo de uso misto, em área arrendada pela APPA, controlado pelo grupo Cargill Fertilizantes, que iniciou suas operações em 2001, na </w:t>
      </w:r>
      <w:proofErr w:type="gramStart"/>
      <w:r>
        <w:rPr>
          <w:sz w:val="24"/>
          <w:szCs w:val="24"/>
          <w:highlight w:val="white"/>
        </w:rPr>
        <w:t>área da antiga empresa Fertilizantes</w:t>
      </w:r>
      <w:proofErr w:type="gramEnd"/>
      <w:r>
        <w:rPr>
          <w:sz w:val="24"/>
          <w:szCs w:val="24"/>
          <w:highlight w:val="white"/>
        </w:rPr>
        <w:t xml:space="preserve"> Becker, que passou a se chamar </w:t>
      </w:r>
      <w:proofErr w:type="spellStart"/>
      <w:r>
        <w:rPr>
          <w:sz w:val="24"/>
          <w:szCs w:val="24"/>
          <w:highlight w:val="white"/>
        </w:rPr>
        <w:t>Fospar</w:t>
      </w:r>
      <w:proofErr w:type="spellEnd"/>
      <w:r>
        <w:rPr>
          <w:sz w:val="24"/>
          <w:szCs w:val="24"/>
          <w:highlight w:val="white"/>
        </w:rPr>
        <w:t xml:space="preserve">, em 1989. O terminal é um prestador de serviços para empresas importadoras de matéria prima de fertilizantes (granéis sólidos), como cloreto de potássio, </w:t>
      </w:r>
      <w:proofErr w:type="spellStart"/>
      <w:r>
        <w:rPr>
          <w:sz w:val="24"/>
          <w:szCs w:val="24"/>
          <w:highlight w:val="white"/>
        </w:rPr>
        <w:t>uréia</w:t>
      </w:r>
      <w:proofErr w:type="spellEnd"/>
      <w:r>
        <w:rPr>
          <w:sz w:val="24"/>
          <w:szCs w:val="24"/>
          <w:highlight w:val="white"/>
        </w:rPr>
        <w:t xml:space="preserve">, </w:t>
      </w:r>
      <w:proofErr w:type="spellStart"/>
      <w:r>
        <w:rPr>
          <w:sz w:val="24"/>
          <w:szCs w:val="24"/>
          <w:highlight w:val="white"/>
        </w:rPr>
        <w:t>mapi</w:t>
      </w:r>
      <w:proofErr w:type="spellEnd"/>
      <w:r>
        <w:rPr>
          <w:sz w:val="24"/>
          <w:szCs w:val="24"/>
          <w:highlight w:val="white"/>
        </w:rPr>
        <w:t xml:space="preserve"> (mono), TSP, sulfato de amônio, rocha fosfática, N+P, entre outros produtos. O terminal possui dois berços de atracação, podendo atender navios </w:t>
      </w:r>
      <w:proofErr w:type="spellStart"/>
      <w:r>
        <w:rPr>
          <w:sz w:val="24"/>
          <w:szCs w:val="24"/>
          <w:highlight w:val="white"/>
        </w:rPr>
        <w:t>graneleiros</w:t>
      </w:r>
      <w:proofErr w:type="spellEnd"/>
      <w:r>
        <w:rPr>
          <w:sz w:val="24"/>
          <w:szCs w:val="24"/>
          <w:highlight w:val="white"/>
        </w:rPr>
        <w:t xml:space="preserve"> tipo </w:t>
      </w:r>
      <w:proofErr w:type="spellStart"/>
      <w:r>
        <w:rPr>
          <w:i/>
          <w:sz w:val="24"/>
          <w:szCs w:val="24"/>
          <w:highlight w:val="white"/>
        </w:rPr>
        <w:t>Panamax</w:t>
      </w:r>
      <w:proofErr w:type="spellEnd"/>
      <w:r>
        <w:rPr>
          <w:sz w:val="24"/>
          <w:szCs w:val="24"/>
          <w:highlight w:val="white"/>
        </w:rPr>
        <w:t xml:space="preserve">, tendo o berço 01 (externo) 250 m de extensão, boca de 33 m e 41 pés de profundidade (calado), atendendo navios de até 75.000 t DWT. O berço 02 (interno) tem extensão de 210 m, boca de 27 m e calado de 30 pés, para navios de até 40.000 t DWT. O sistema utilizado na </w:t>
      </w:r>
      <w:proofErr w:type="spellStart"/>
      <w:r>
        <w:rPr>
          <w:sz w:val="24"/>
          <w:szCs w:val="24"/>
          <w:highlight w:val="white"/>
        </w:rPr>
        <w:t>Fospar</w:t>
      </w:r>
      <w:proofErr w:type="spellEnd"/>
      <w:r>
        <w:rPr>
          <w:sz w:val="24"/>
          <w:szCs w:val="24"/>
          <w:highlight w:val="white"/>
        </w:rPr>
        <w:t>, diferentemente da descarga de fertilizantes efetuada no cais público da APPA (transbordo dos navios por funis para caminhões), é efetuado por um sistema de correias transportadoras de 800 m lineares, com capacidade de transporte de 2.000 t/h, com coletores de pó nas torres de transição. Dentro de sua área de 14.000 m</w:t>
      </w:r>
      <w:r>
        <w:rPr>
          <w:sz w:val="24"/>
          <w:szCs w:val="24"/>
          <w:highlight w:val="white"/>
          <w:vertAlign w:val="superscript"/>
        </w:rPr>
        <w:t xml:space="preserve">2 </w:t>
      </w:r>
      <w:r>
        <w:rPr>
          <w:sz w:val="24"/>
          <w:szCs w:val="24"/>
          <w:highlight w:val="white"/>
        </w:rPr>
        <w:t xml:space="preserve">de </w:t>
      </w:r>
      <w:proofErr w:type="spellStart"/>
      <w:r>
        <w:rPr>
          <w:sz w:val="24"/>
          <w:szCs w:val="24"/>
          <w:highlight w:val="white"/>
        </w:rPr>
        <w:t>retroporto</w:t>
      </w:r>
      <w:proofErr w:type="spellEnd"/>
      <w:r>
        <w:rPr>
          <w:sz w:val="24"/>
          <w:szCs w:val="24"/>
          <w:highlight w:val="white"/>
        </w:rPr>
        <w:t>, existe um armazém coberto para armazenamento de carga, com capacidade de 60.000 t, conectado a dois ramais de malha ferroviária, de bitola estreita, operados pela empresa América Latina Logística (ALL) (SOARES, 2009).</w:t>
      </w:r>
    </w:p>
    <w:p w:rsidR="00F23EA2" w:rsidRDefault="00F23EA2" w:rsidP="00F23EA2">
      <w:pPr>
        <w:spacing w:after="240"/>
        <w:jc w:val="both"/>
      </w:pPr>
      <w:r>
        <w:rPr>
          <w:b/>
          <w:sz w:val="24"/>
          <w:szCs w:val="24"/>
          <w:highlight w:val="white"/>
        </w:rPr>
        <w:t>- Centro de Distribuição de Veículos (CDV)</w:t>
      </w:r>
      <w:r>
        <w:rPr>
          <w:sz w:val="24"/>
          <w:szCs w:val="24"/>
          <w:highlight w:val="white"/>
        </w:rPr>
        <w:t xml:space="preserve">: de acordo com o Eng. Airton </w:t>
      </w:r>
      <w:proofErr w:type="spellStart"/>
      <w:r>
        <w:rPr>
          <w:sz w:val="24"/>
          <w:szCs w:val="24"/>
          <w:highlight w:val="white"/>
        </w:rPr>
        <w:t>Maron</w:t>
      </w:r>
      <w:proofErr w:type="spellEnd"/>
      <w:r>
        <w:rPr>
          <w:sz w:val="24"/>
          <w:szCs w:val="24"/>
          <w:highlight w:val="white"/>
        </w:rPr>
        <w:t xml:space="preserve">, é o conjunto de dois pátios para o armazenamento de veículos, tanto no sentido da </w:t>
      </w:r>
      <w:r>
        <w:rPr>
          <w:sz w:val="24"/>
          <w:szCs w:val="24"/>
          <w:highlight w:val="white"/>
        </w:rPr>
        <w:lastRenderedPageBreak/>
        <w:t>exportação como na importação, localizado no setor leste do porto, composto de um pátio com 27.000m</w:t>
      </w:r>
      <w:r>
        <w:rPr>
          <w:sz w:val="24"/>
          <w:szCs w:val="24"/>
          <w:highlight w:val="white"/>
          <w:vertAlign w:val="superscript"/>
        </w:rPr>
        <w:t>2</w:t>
      </w:r>
      <w:r>
        <w:rPr>
          <w:sz w:val="24"/>
          <w:szCs w:val="24"/>
          <w:highlight w:val="white"/>
        </w:rPr>
        <w:t>, pavimentado com concreto betuminoso usinado a quente (CBUQ)</w:t>
      </w:r>
      <w:r>
        <w:rPr>
          <w:sz w:val="24"/>
          <w:szCs w:val="24"/>
          <w:highlight w:val="white"/>
          <w:vertAlign w:val="superscript"/>
        </w:rPr>
        <w:t xml:space="preserve"> </w:t>
      </w:r>
      <w:r>
        <w:rPr>
          <w:sz w:val="24"/>
          <w:szCs w:val="24"/>
          <w:highlight w:val="white"/>
        </w:rPr>
        <w:t>e capacidade estática de armazenamento de 1.200 automóveis, de propriedade da APPA, administrado e operado pela própria APPA, e um pátio com 120.000m</w:t>
      </w:r>
      <w:r>
        <w:rPr>
          <w:sz w:val="24"/>
          <w:szCs w:val="24"/>
          <w:highlight w:val="white"/>
          <w:vertAlign w:val="superscript"/>
        </w:rPr>
        <w:t>2</w:t>
      </w:r>
      <w:r>
        <w:rPr>
          <w:sz w:val="24"/>
          <w:szCs w:val="24"/>
          <w:highlight w:val="white"/>
        </w:rPr>
        <w:t>, pavimentado com CBUQ, capacidade estática de armazenamento de 5.500 automóveis, de propriedade da APPA, arrendado para a Volkswagen do Brasil, que o administra e executa a operação portuária (SOARES, 2009).</w:t>
      </w:r>
    </w:p>
    <w:p w:rsidR="00595E8C" w:rsidRDefault="00595E8C" w:rsidP="00595E8C">
      <w:pPr>
        <w:spacing w:before="240"/>
        <w:jc w:val="both"/>
        <w:rPr>
          <w:sz w:val="24"/>
        </w:rPr>
      </w:pPr>
      <w:r>
        <w:rPr>
          <w:sz w:val="24"/>
        </w:rPr>
        <w:t>Antonina</w:t>
      </w:r>
    </w:p>
    <w:p w:rsidR="00595E8C" w:rsidRDefault="00595E8C" w:rsidP="00595E8C">
      <w:pPr>
        <w:spacing w:before="240"/>
        <w:ind w:firstLine="709"/>
        <w:jc w:val="both"/>
        <w:rPr>
          <w:sz w:val="24"/>
        </w:rPr>
      </w:pPr>
      <w:r>
        <w:rPr>
          <w:sz w:val="24"/>
        </w:rPr>
        <w:t>A</w:t>
      </w:r>
      <w:r w:rsidRPr="00595E8C">
        <w:rPr>
          <w:sz w:val="24"/>
        </w:rPr>
        <w:t xml:space="preserve"> região também é designada como</w:t>
      </w:r>
      <w:r>
        <w:rPr>
          <w:sz w:val="24"/>
        </w:rPr>
        <w:t xml:space="preserve"> Complexo Portuário de Antonina</w:t>
      </w:r>
      <w:r w:rsidRPr="00595E8C">
        <w:rPr>
          <w:sz w:val="24"/>
        </w:rPr>
        <w:t xml:space="preserve">, abrangendo o Terminal Público Barão de </w:t>
      </w:r>
      <w:proofErr w:type="spellStart"/>
      <w:r w:rsidRPr="00595E8C">
        <w:rPr>
          <w:sz w:val="24"/>
        </w:rPr>
        <w:t>Teffé</w:t>
      </w:r>
      <w:proofErr w:type="spellEnd"/>
      <w:r w:rsidRPr="00595E8C">
        <w:rPr>
          <w:sz w:val="24"/>
        </w:rPr>
        <w:t xml:space="preserve"> (administrado pela APPA) e dois terminais de uso público, arrendados para a iniciativa privada: os Terminais Portuários da Ponta do Félix (TPPF) e o Terminal Matarazzo.</w:t>
      </w:r>
    </w:p>
    <w:p w:rsidR="00595E8C" w:rsidRDefault="00595E8C" w:rsidP="00595E8C">
      <w:pPr>
        <w:keepNext/>
        <w:spacing w:before="240"/>
        <w:ind w:firstLine="709"/>
      </w:pPr>
      <w:r>
        <w:rPr>
          <w:noProof/>
        </w:rPr>
        <w:drawing>
          <wp:inline distT="0" distB="0" distL="0" distR="0" wp14:anchorId="35BFCD8F" wp14:editId="1A3DB76D">
            <wp:extent cx="3914337" cy="2926397"/>
            <wp:effectExtent l="0" t="0" r="0" b="762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14337" cy="2926397"/>
                    </a:xfrm>
                    <a:prstGeom prst="rect">
                      <a:avLst/>
                    </a:prstGeom>
                    <a:noFill/>
                    <a:ln>
                      <a:noFill/>
                    </a:ln>
                  </pic:spPr>
                </pic:pic>
              </a:graphicData>
            </a:graphic>
          </wp:inline>
        </w:drawing>
      </w:r>
    </w:p>
    <w:p w:rsidR="00595E8C" w:rsidRDefault="00595E8C" w:rsidP="00CD615C">
      <w:pPr>
        <w:pStyle w:val="Legenda"/>
      </w:pPr>
      <w:r>
        <w:t xml:space="preserve">Figura </w:t>
      </w:r>
      <w:r w:rsidR="00702BA8">
        <w:fldChar w:fldCharType="begin"/>
      </w:r>
      <w:r w:rsidR="00702BA8">
        <w:instrText xml:space="preserve"> SEQ Figura \* ARABIC </w:instrText>
      </w:r>
      <w:r w:rsidR="00702BA8">
        <w:fldChar w:fldCharType="separate"/>
      </w:r>
      <w:r w:rsidR="00CD615C">
        <w:rPr>
          <w:noProof/>
        </w:rPr>
        <w:t>6</w:t>
      </w:r>
      <w:r w:rsidR="00702BA8">
        <w:rPr>
          <w:noProof/>
        </w:rPr>
        <w:fldChar w:fldCharType="end"/>
      </w:r>
      <w:r>
        <w:t xml:space="preserve"> - </w:t>
      </w:r>
      <w:r w:rsidRPr="00595E8C">
        <w:t>- Região portuária de Antonina. Imagem Spot do ano de 2003</w:t>
      </w:r>
    </w:p>
    <w:p w:rsidR="00595E8C" w:rsidRDefault="00595E8C" w:rsidP="00595E8C">
      <w:r>
        <w:t>Fonte: SOARES, 2009</w:t>
      </w:r>
    </w:p>
    <w:p w:rsidR="00F23EA2" w:rsidRDefault="00F23EA2" w:rsidP="00F23EA2">
      <w:pPr>
        <w:jc w:val="both"/>
      </w:pPr>
      <w:r>
        <w:rPr>
          <w:sz w:val="24"/>
          <w:szCs w:val="24"/>
          <w:highlight w:val="white"/>
        </w:rPr>
        <w:t xml:space="preserve">- </w:t>
      </w:r>
      <w:r>
        <w:rPr>
          <w:b/>
          <w:sz w:val="24"/>
          <w:szCs w:val="24"/>
          <w:highlight w:val="white"/>
        </w:rPr>
        <w:t xml:space="preserve">Terminal Público Barão de </w:t>
      </w:r>
      <w:proofErr w:type="spellStart"/>
      <w:r>
        <w:rPr>
          <w:b/>
          <w:sz w:val="24"/>
          <w:szCs w:val="24"/>
          <w:highlight w:val="white"/>
        </w:rPr>
        <w:t>Teffé</w:t>
      </w:r>
      <w:proofErr w:type="spellEnd"/>
      <w:r>
        <w:rPr>
          <w:sz w:val="24"/>
          <w:szCs w:val="24"/>
          <w:highlight w:val="white"/>
        </w:rPr>
        <w:t>: dispõe de um único berço de atracação com 62 m de extensão, apropriado para operações com barcaças. O terminal possui um guindaste de pequena capacidade (10 t), utilizado para o transbordo de granéis sólidos e carga geral e conta com uma área de armazenagem coberta de 80.000 m</w:t>
      </w:r>
      <w:r>
        <w:rPr>
          <w:sz w:val="24"/>
          <w:szCs w:val="24"/>
          <w:highlight w:val="white"/>
          <w:vertAlign w:val="superscript"/>
        </w:rPr>
        <w:t xml:space="preserve">2 </w:t>
      </w:r>
      <w:r>
        <w:rPr>
          <w:sz w:val="24"/>
          <w:szCs w:val="24"/>
          <w:highlight w:val="white"/>
        </w:rPr>
        <w:t>e um pátio descoberto de 256.000 m² (SOARES, 2009).</w:t>
      </w:r>
    </w:p>
    <w:p w:rsidR="00F23EA2" w:rsidRDefault="00F23EA2" w:rsidP="00F23EA2">
      <w:pPr>
        <w:spacing w:before="240"/>
        <w:jc w:val="both"/>
      </w:pPr>
      <w:r>
        <w:rPr>
          <w:sz w:val="24"/>
          <w:szCs w:val="24"/>
          <w:highlight w:val="white"/>
        </w:rPr>
        <w:lastRenderedPageBreak/>
        <w:t xml:space="preserve">- </w:t>
      </w:r>
      <w:r>
        <w:rPr>
          <w:b/>
          <w:sz w:val="24"/>
          <w:szCs w:val="24"/>
          <w:highlight w:val="white"/>
        </w:rPr>
        <w:t>Terminal Matarazzo</w:t>
      </w:r>
      <w:r>
        <w:rPr>
          <w:sz w:val="24"/>
          <w:szCs w:val="24"/>
          <w:highlight w:val="white"/>
        </w:rPr>
        <w:t>: Segundo o PDZPO – ANTONINA (2006), o terminal possui 250 m de cais acostável, com 5 m de profundidade e contendo vários armazéns cobertos em mau estado de conservação, totalizando 10.000 m</w:t>
      </w:r>
      <w:r>
        <w:rPr>
          <w:sz w:val="24"/>
          <w:szCs w:val="24"/>
          <w:highlight w:val="white"/>
          <w:vertAlign w:val="superscript"/>
        </w:rPr>
        <w:t>2</w:t>
      </w:r>
      <w:r>
        <w:rPr>
          <w:sz w:val="24"/>
          <w:szCs w:val="24"/>
          <w:highlight w:val="white"/>
        </w:rPr>
        <w:t xml:space="preserve">. O Terminal Público Barão de </w:t>
      </w:r>
      <w:proofErr w:type="spellStart"/>
      <w:r>
        <w:rPr>
          <w:sz w:val="24"/>
          <w:szCs w:val="24"/>
          <w:highlight w:val="white"/>
        </w:rPr>
        <w:t>Teffé</w:t>
      </w:r>
      <w:proofErr w:type="spellEnd"/>
      <w:r>
        <w:rPr>
          <w:sz w:val="24"/>
          <w:szCs w:val="24"/>
          <w:highlight w:val="white"/>
        </w:rPr>
        <w:t xml:space="preserve"> e o Terminal Matarazzo compartilham uma mesma bacia de evolução, com 19 pés de calado e comprimento máximo dos navios de 155 m, segundo informações obtidas com o Sr. Luiz H. T. </w:t>
      </w:r>
      <w:proofErr w:type="spellStart"/>
      <w:r>
        <w:rPr>
          <w:sz w:val="24"/>
          <w:szCs w:val="24"/>
          <w:highlight w:val="white"/>
        </w:rPr>
        <w:t>Dividino</w:t>
      </w:r>
      <w:proofErr w:type="spellEnd"/>
      <w:r>
        <w:rPr>
          <w:sz w:val="24"/>
          <w:szCs w:val="24"/>
          <w:highlight w:val="white"/>
        </w:rPr>
        <w:t xml:space="preserve">, </w:t>
      </w:r>
      <w:proofErr w:type="gramStart"/>
      <w:r>
        <w:rPr>
          <w:sz w:val="24"/>
          <w:szCs w:val="24"/>
          <w:highlight w:val="white"/>
        </w:rPr>
        <w:t>ex-Diretor</w:t>
      </w:r>
      <w:proofErr w:type="gramEnd"/>
      <w:r>
        <w:rPr>
          <w:sz w:val="24"/>
          <w:szCs w:val="24"/>
          <w:highlight w:val="white"/>
        </w:rPr>
        <w:t xml:space="preserve"> do Porto de Antonina, em 18/11/2008 (SOARES, 2009).</w:t>
      </w:r>
    </w:p>
    <w:p w:rsidR="00F23EA2" w:rsidRDefault="00F23EA2" w:rsidP="00F23EA2">
      <w:pPr>
        <w:spacing w:before="240"/>
        <w:jc w:val="both"/>
      </w:pPr>
      <w:r>
        <w:rPr>
          <w:sz w:val="24"/>
          <w:szCs w:val="24"/>
          <w:highlight w:val="white"/>
        </w:rPr>
        <w:t xml:space="preserve">- </w:t>
      </w:r>
      <w:r>
        <w:rPr>
          <w:b/>
          <w:sz w:val="24"/>
          <w:szCs w:val="24"/>
          <w:highlight w:val="white"/>
        </w:rPr>
        <w:t>Terminais Portuários da Ponta do Félix</w:t>
      </w:r>
      <w:r>
        <w:rPr>
          <w:sz w:val="24"/>
          <w:szCs w:val="24"/>
          <w:highlight w:val="white"/>
        </w:rPr>
        <w:t xml:space="preserve">: de acordo com as Informações obtidas com o Sr. </w:t>
      </w:r>
      <w:proofErr w:type="spellStart"/>
      <w:r>
        <w:rPr>
          <w:sz w:val="24"/>
          <w:szCs w:val="24"/>
          <w:highlight w:val="white"/>
        </w:rPr>
        <w:t>Luia</w:t>
      </w:r>
      <w:proofErr w:type="spellEnd"/>
      <w:r>
        <w:rPr>
          <w:sz w:val="24"/>
          <w:szCs w:val="24"/>
          <w:highlight w:val="white"/>
        </w:rPr>
        <w:t xml:space="preserve"> H.T. </w:t>
      </w:r>
      <w:proofErr w:type="spellStart"/>
      <w:r>
        <w:rPr>
          <w:sz w:val="24"/>
          <w:szCs w:val="24"/>
          <w:highlight w:val="white"/>
        </w:rPr>
        <w:t>Dividino</w:t>
      </w:r>
      <w:proofErr w:type="spellEnd"/>
      <w:r>
        <w:rPr>
          <w:sz w:val="24"/>
          <w:szCs w:val="24"/>
          <w:highlight w:val="white"/>
        </w:rPr>
        <w:t xml:space="preserve">, Diretor-Presidente dos TPPF, em 18/11/2008, é um terminal portuário de uso misto, a partir de área arrendada pela APPA de 263.824 m2. Conta com 360 m de cais, com dois berços de atracação, dos quais 210 m se destinam a produtos florestais e contêineres e 150 m para cargas frigorificadas. A bacia de evolução dos TPPF possui 430 m de diâmetro aproximado, desenhada inicialmente para navios com até 185 m de comprimento, podendo receber navios de até 200 m de comprimento total com boca máxima de 34 m. A infraestrutura terrestre compreende 35.000 m² de áreas de armazenagem descoberta, 35.000 m² de área de armazenagem coberta e 300 tomadas </w:t>
      </w:r>
      <w:proofErr w:type="spellStart"/>
      <w:r>
        <w:rPr>
          <w:i/>
          <w:sz w:val="24"/>
          <w:szCs w:val="24"/>
          <w:highlight w:val="white"/>
        </w:rPr>
        <w:t>reefer</w:t>
      </w:r>
      <w:proofErr w:type="spellEnd"/>
      <w:r>
        <w:rPr>
          <w:sz w:val="24"/>
          <w:szCs w:val="24"/>
          <w:highlight w:val="white"/>
        </w:rPr>
        <w:t>.</w:t>
      </w:r>
    </w:p>
    <w:p w:rsidR="00F23EA2" w:rsidRDefault="00F23EA2" w:rsidP="00F23EA2">
      <w:pPr>
        <w:ind w:firstLine="700"/>
        <w:jc w:val="both"/>
      </w:pPr>
      <w:r>
        <w:rPr>
          <w:sz w:val="24"/>
          <w:szCs w:val="24"/>
          <w:highlight w:val="white"/>
        </w:rPr>
        <w:t>A região portuária de Antonina conta ainda com um píer público municipal, ampliado e reformado na década de 1990, localizado no centro histórico da cidade, à montante dos demais terminais portuários. Atende pequenas embarcações de pesca, passeio e turismo, devido às profundidades existentes no local (SOARES, 2009).</w:t>
      </w:r>
    </w:p>
    <w:p w:rsidR="00DF1F41" w:rsidRDefault="009C776E" w:rsidP="009A5468">
      <w:pPr>
        <w:pStyle w:val="Ttulo3"/>
        <w:numPr>
          <w:ilvl w:val="0"/>
          <w:numId w:val="0"/>
        </w:numPr>
        <w:rPr>
          <w:b w:val="0"/>
          <w:sz w:val="24"/>
        </w:rPr>
      </w:pPr>
      <w:r>
        <w:rPr>
          <w:b w:val="0"/>
          <w:sz w:val="24"/>
        </w:rPr>
        <w:t>4</w:t>
      </w:r>
      <w:r w:rsidR="009A5468">
        <w:rPr>
          <w:b w:val="0"/>
          <w:sz w:val="24"/>
        </w:rPr>
        <w:t xml:space="preserve">.1.3. </w:t>
      </w:r>
      <w:r w:rsidR="00DF1F41" w:rsidRPr="00DF1F41">
        <w:rPr>
          <w:b w:val="0"/>
          <w:sz w:val="24"/>
        </w:rPr>
        <w:t>Dimensão da atividade portuária</w:t>
      </w:r>
    </w:p>
    <w:p w:rsidR="00F23EA2" w:rsidRDefault="00993B40" w:rsidP="00F23EA2">
      <w:pPr>
        <w:jc w:val="both"/>
      </w:pPr>
      <w:r>
        <w:rPr>
          <w:sz w:val="24"/>
        </w:rPr>
        <w:tab/>
      </w:r>
      <w:r w:rsidR="00F23EA2">
        <w:rPr>
          <w:sz w:val="24"/>
          <w:szCs w:val="24"/>
          <w:highlight w:val="white"/>
        </w:rPr>
        <w:t xml:space="preserve">O Porto de Paranaguá integra uma grande rede modal de transporte, no Estado do Paraná e no Sul do Brasil. Este sistema multimodal forma um Corredor de exportação eficiente e competitivo, com uma extensa malha rodoviária que se conecta com os Corredores Leste, Central e Oeste da Região Sul e, também, com o Corredor de Exportação do </w:t>
      </w:r>
      <w:proofErr w:type="gramStart"/>
      <w:r w:rsidR="00F23EA2">
        <w:rPr>
          <w:sz w:val="24"/>
          <w:szCs w:val="24"/>
          <w:highlight w:val="white"/>
        </w:rPr>
        <w:t>Mercosul</w:t>
      </w:r>
      <w:proofErr w:type="gramEnd"/>
      <w:r w:rsidR="00F23EA2">
        <w:rPr>
          <w:sz w:val="24"/>
          <w:szCs w:val="24"/>
          <w:highlight w:val="white"/>
        </w:rPr>
        <w:t xml:space="preserve">. Como apoio ao transporte rodoviário, o Porto de Paranaguá </w:t>
      </w:r>
      <w:proofErr w:type="gramStart"/>
      <w:r w:rsidR="00F23EA2">
        <w:rPr>
          <w:sz w:val="24"/>
          <w:szCs w:val="24"/>
          <w:highlight w:val="white"/>
        </w:rPr>
        <w:t>possui,</w:t>
      </w:r>
      <w:proofErr w:type="gramEnd"/>
      <w:r w:rsidR="00F23EA2">
        <w:rPr>
          <w:sz w:val="24"/>
          <w:szCs w:val="24"/>
          <w:highlight w:val="white"/>
        </w:rPr>
        <w:t xml:space="preserve"> acessoriamente ao complexo “Corredor de Exportação”, um Pátio de Triagem para os caminhões que chegam a Paranaguá com destino aos </w:t>
      </w:r>
      <w:r w:rsidR="00F23EA2">
        <w:rPr>
          <w:color w:val="222222"/>
          <w:sz w:val="24"/>
          <w:szCs w:val="24"/>
          <w:highlight w:val="white"/>
        </w:rPr>
        <w:t xml:space="preserve">equipamentos destinados a dosagem de materiais provenientes dos silos </w:t>
      </w:r>
      <w:r w:rsidR="00F23EA2">
        <w:rPr>
          <w:sz w:val="24"/>
          <w:szCs w:val="24"/>
          <w:highlight w:val="white"/>
        </w:rPr>
        <w:t xml:space="preserve">deste </w:t>
      </w:r>
      <w:r w:rsidR="00F23EA2">
        <w:rPr>
          <w:sz w:val="24"/>
          <w:szCs w:val="24"/>
          <w:highlight w:val="white"/>
        </w:rPr>
        <w:lastRenderedPageBreak/>
        <w:t xml:space="preserve">complexo </w:t>
      </w:r>
      <w:proofErr w:type="spellStart"/>
      <w:r w:rsidR="00F23EA2">
        <w:rPr>
          <w:sz w:val="24"/>
          <w:szCs w:val="24"/>
          <w:highlight w:val="white"/>
        </w:rPr>
        <w:t>graneleiro</w:t>
      </w:r>
      <w:proofErr w:type="spellEnd"/>
      <w:r w:rsidR="00F23EA2">
        <w:rPr>
          <w:sz w:val="24"/>
          <w:szCs w:val="24"/>
          <w:highlight w:val="white"/>
        </w:rPr>
        <w:t xml:space="preserve">. Além da malha rodoviária, há também: a malha ferroviária </w:t>
      </w:r>
      <w:proofErr w:type="gramStart"/>
      <w:r w:rsidR="00F23EA2">
        <w:rPr>
          <w:sz w:val="24"/>
          <w:szCs w:val="24"/>
          <w:highlight w:val="white"/>
        </w:rPr>
        <w:t>que</w:t>
      </w:r>
      <w:proofErr w:type="gramEnd"/>
      <w:r w:rsidR="00F23EA2">
        <w:rPr>
          <w:sz w:val="24"/>
          <w:szCs w:val="24"/>
          <w:highlight w:val="white"/>
        </w:rPr>
        <w:t xml:space="preserve"> </w:t>
      </w:r>
      <w:proofErr w:type="gramStart"/>
      <w:r w:rsidR="00F23EA2">
        <w:rPr>
          <w:sz w:val="24"/>
          <w:szCs w:val="24"/>
          <w:highlight w:val="white"/>
        </w:rPr>
        <w:t>liga</w:t>
      </w:r>
      <w:proofErr w:type="gramEnd"/>
      <w:r w:rsidR="00F23EA2">
        <w:rPr>
          <w:sz w:val="24"/>
          <w:szCs w:val="24"/>
          <w:highlight w:val="white"/>
        </w:rPr>
        <w:t xml:space="preserve"> o Porto de Paranaguá, administrada e operada pela Concessionária ALL – América Latina Logística, formando o segmento ferroviário do “Corredor do Paraná / Santa Catarina” com uma extensão de cerca de 2,2 mil quilômetros, transportando principalmente granéis agrícolas, fertilizantes e combustíveis; há ainda uma linha de oleoduto com 90 km de extensão, para derivados de petróleo, interligando o terminal de inflamáveis do Porto de Paranaguá, operado pela Petrobras/</w:t>
      </w:r>
      <w:proofErr w:type="spellStart"/>
      <w:r w:rsidR="00F23EA2">
        <w:rPr>
          <w:sz w:val="24"/>
          <w:szCs w:val="24"/>
          <w:highlight w:val="white"/>
        </w:rPr>
        <w:t>Transpetro</w:t>
      </w:r>
      <w:proofErr w:type="spellEnd"/>
      <w:r w:rsidR="00F23EA2">
        <w:rPr>
          <w:sz w:val="24"/>
          <w:szCs w:val="24"/>
          <w:highlight w:val="white"/>
        </w:rPr>
        <w:t xml:space="preserve">, com a refinaria Getúlio Vargas em Araucária; o sistema aeroviário do Estado do Paraná, administrado pela empresa brasileira de </w:t>
      </w:r>
      <w:proofErr w:type="spellStart"/>
      <w:r w:rsidR="00F23EA2">
        <w:rPr>
          <w:sz w:val="24"/>
          <w:szCs w:val="24"/>
          <w:highlight w:val="white"/>
        </w:rPr>
        <w:t>Infra-estrutura</w:t>
      </w:r>
      <w:proofErr w:type="spellEnd"/>
      <w:r w:rsidR="00F23EA2">
        <w:rPr>
          <w:sz w:val="24"/>
          <w:szCs w:val="24"/>
          <w:highlight w:val="white"/>
        </w:rPr>
        <w:t xml:space="preserve"> Aeroportuária – INFRAERO, compõe-se de 03 (três) aeroportos que operam com linhas regulares de passageiros, localizando-se nos municípios de São José dos Pinhais (região metropolitana de Curitiba e à 80 km de Paranaguá), Londrina e Foz do Iguaçu; o acesso marítimo pela barra de entrada (Canal da Galheta), definida nas Cartas Náuticas de Marinha </w:t>
      </w:r>
      <w:proofErr w:type="spellStart"/>
      <w:r w:rsidR="00F23EA2">
        <w:rPr>
          <w:sz w:val="24"/>
          <w:szCs w:val="24"/>
          <w:highlight w:val="white"/>
        </w:rPr>
        <w:t>nºs</w:t>
      </w:r>
      <w:proofErr w:type="spellEnd"/>
      <w:r w:rsidR="00F23EA2">
        <w:rPr>
          <w:sz w:val="24"/>
          <w:szCs w:val="24"/>
          <w:highlight w:val="white"/>
        </w:rPr>
        <w:t xml:space="preserve"> 1.821 e 1.822, com 150/200 metros de largura, 20 milhas de extensão e 13/15 metros de profundidade, o qual conta com leito em areia, permitindo navegação segura à </w:t>
      </w:r>
      <w:proofErr w:type="spellStart"/>
      <w:r w:rsidR="00F23EA2">
        <w:rPr>
          <w:sz w:val="24"/>
          <w:szCs w:val="24"/>
          <w:highlight w:val="white"/>
        </w:rPr>
        <w:t>graneleiros</w:t>
      </w:r>
      <w:proofErr w:type="spellEnd"/>
      <w:r w:rsidR="00F23EA2">
        <w:rPr>
          <w:sz w:val="24"/>
          <w:szCs w:val="24"/>
          <w:highlight w:val="white"/>
        </w:rPr>
        <w:t xml:space="preserve"> de grande porte, com carregamento de até 78.000 toneladas (APPA, 2016).</w:t>
      </w:r>
    </w:p>
    <w:p w:rsidR="00F23EA2" w:rsidRDefault="00F23EA2" w:rsidP="00F23EA2">
      <w:pPr>
        <w:ind w:firstLine="700"/>
        <w:jc w:val="both"/>
      </w:pPr>
      <w:r>
        <w:rPr>
          <w:sz w:val="24"/>
          <w:szCs w:val="24"/>
          <w:highlight w:val="white"/>
        </w:rPr>
        <w:t xml:space="preserve">O Canal da Galheta, situado ao sul da Ilha do Mel, tem sido o principal acesso aos Portos da Baía de Paranaguá, desde a década de 1970. Tem aproximadamente 30 km de extensão, desde o setor externo, </w:t>
      </w:r>
      <w:proofErr w:type="spellStart"/>
      <w:r>
        <w:rPr>
          <w:sz w:val="24"/>
          <w:szCs w:val="24"/>
          <w:highlight w:val="white"/>
        </w:rPr>
        <w:t>bóia</w:t>
      </w:r>
      <w:proofErr w:type="spellEnd"/>
      <w:r>
        <w:rPr>
          <w:sz w:val="24"/>
          <w:szCs w:val="24"/>
          <w:highlight w:val="white"/>
        </w:rPr>
        <w:t xml:space="preserve"> sinalizadora </w:t>
      </w:r>
      <w:proofErr w:type="gramStart"/>
      <w:r>
        <w:rPr>
          <w:sz w:val="24"/>
          <w:szCs w:val="24"/>
          <w:highlight w:val="white"/>
        </w:rPr>
        <w:t>1</w:t>
      </w:r>
      <w:proofErr w:type="gramEnd"/>
      <w:r>
        <w:rPr>
          <w:sz w:val="24"/>
          <w:szCs w:val="24"/>
          <w:highlight w:val="white"/>
        </w:rPr>
        <w:t xml:space="preserve">, até próximo do cais de atracação do Porto de Paranaguá, </w:t>
      </w:r>
      <w:proofErr w:type="spellStart"/>
      <w:r>
        <w:rPr>
          <w:sz w:val="24"/>
          <w:szCs w:val="24"/>
          <w:highlight w:val="white"/>
        </w:rPr>
        <w:t>bóia</w:t>
      </w:r>
      <w:proofErr w:type="spellEnd"/>
      <w:r>
        <w:rPr>
          <w:sz w:val="24"/>
          <w:szCs w:val="24"/>
          <w:highlight w:val="white"/>
        </w:rPr>
        <w:t xml:space="preserve"> 33, e um pouco mais de 15 km até Antonina. (SOARES, 2009). O canal pode ser subdividido em setores como demonstrado abaixo.</w:t>
      </w:r>
    </w:p>
    <w:p w:rsidR="00F5515E" w:rsidRDefault="00F5515E" w:rsidP="00F23EA2">
      <w:pPr>
        <w:jc w:val="both"/>
        <w:rPr>
          <w:sz w:val="24"/>
        </w:rPr>
      </w:pPr>
    </w:p>
    <w:p w:rsidR="00F5515E" w:rsidRDefault="00F5515E" w:rsidP="00F5515E">
      <w:pPr>
        <w:keepNext/>
        <w:spacing w:before="240"/>
        <w:jc w:val="left"/>
      </w:pPr>
      <w:r w:rsidRPr="00C4278D">
        <w:rPr>
          <w:rFonts w:cstheme="minorHAnsi"/>
          <w:noProof/>
        </w:rPr>
        <w:lastRenderedPageBreak/>
        <w:drawing>
          <wp:inline distT="0" distB="0" distL="0" distR="0" wp14:anchorId="6E507FB8" wp14:editId="21409BD3">
            <wp:extent cx="5754343" cy="3000375"/>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7804" cy="3002180"/>
                    </a:xfrm>
                    <a:prstGeom prst="rect">
                      <a:avLst/>
                    </a:prstGeom>
                    <a:noFill/>
                    <a:ln>
                      <a:noFill/>
                    </a:ln>
                  </pic:spPr>
                </pic:pic>
              </a:graphicData>
            </a:graphic>
          </wp:inline>
        </w:drawing>
      </w:r>
    </w:p>
    <w:p w:rsidR="00F5515E" w:rsidRDefault="00F5515E" w:rsidP="00CD615C">
      <w:pPr>
        <w:pStyle w:val="Legenda"/>
      </w:pPr>
      <w:r>
        <w:t xml:space="preserve">Figura </w:t>
      </w:r>
      <w:r w:rsidR="00702BA8">
        <w:fldChar w:fldCharType="begin"/>
      </w:r>
      <w:r w:rsidR="00702BA8">
        <w:instrText xml:space="preserve"> SEQ Figura \* ARABIC </w:instrText>
      </w:r>
      <w:r w:rsidR="00702BA8">
        <w:fldChar w:fldCharType="separate"/>
      </w:r>
      <w:r w:rsidR="00CD615C">
        <w:rPr>
          <w:noProof/>
        </w:rPr>
        <w:t>7</w:t>
      </w:r>
      <w:r w:rsidR="00702BA8">
        <w:rPr>
          <w:noProof/>
        </w:rPr>
        <w:fldChar w:fldCharType="end"/>
      </w:r>
      <w:r>
        <w:t xml:space="preserve"> - </w:t>
      </w:r>
      <w:r w:rsidRPr="00F5515E">
        <w:t>Acessos marítimos aos portos de Paranaguá e Antonina</w:t>
      </w:r>
    </w:p>
    <w:p w:rsidR="00366F19" w:rsidRDefault="00F5515E" w:rsidP="00366F19">
      <w:r>
        <w:t>Fonte: SOARES, 2009</w:t>
      </w:r>
    </w:p>
    <w:p w:rsidR="00366F19" w:rsidRDefault="00366F19" w:rsidP="00CD615C">
      <w:pPr>
        <w:pStyle w:val="Legenda"/>
      </w:pPr>
      <w:r>
        <w:rPr>
          <w:noProof/>
        </w:rPr>
        <w:drawing>
          <wp:inline distT="0" distB="0" distL="0" distR="0" wp14:anchorId="46A6A95F" wp14:editId="02BC7270">
            <wp:extent cx="5267325" cy="4057650"/>
            <wp:effectExtent l="0" t="0" r="952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67325" cy="4057650"/>
                    </a:xfrm>
                    <a:prstGeom prst="rect">
                      <a:avLst/>
                    </a:prstGeom>
                    <a:noFill/>
                    <a:ln>
                      <a:noFill/>
                    </a:ln>
                  </pic:spPr>
                </pic:pic>
              </a:graphicData>
            </a:graphic>
          </wp:inline>
        </w:drawing>
      </w:r>
    </w:p>
    <w:p w:rsidR="00366F19" w:rsidRDefault="00366F19" w:rsidP="00CD615C">
      <w:pPr>
        <w:pStyle w:val="Legenda"/>
      </w:pPr>
      <w:r>
        <w:t xml:space="preserve">Tabela </w:t>
      </w:r>
      <w:r w:rsidR="00702BA8">
        <w:fldChar w:fldCharType="begin"/>
      </w:r>
      <w:r w:rsidR="00702BA8">
        <w:instrText xml:space="preserve"> SEQ Tabela \* ARABIC </w:instrText>
      </w:r>
      <w:r w:rsidR="00702BA8">
        <w:fldChar w:fldCharType="separate"/>
      </w:r>
      <w:r w:rsidR="00FF7E06">
        <w:rPr>
          <w:noProof/>
        </w:rPr>
        <w:t>1</w:t>
      </w:r>
      <w:r w:rsidR="00702BA8">
        <w:rPr>
          <w:noProof/>
        </w:rPr>
        <w:fldChar w:fldCharType="end"/>
      </w:r>
      <w:r>
        <w:t xml:space="preserve"> - </w:t>
      </w:r>
      <w:r w:rsidRPr="00366F19">
        <w:t>Características dos setores do canal de acesso aos portos de Paranaguá e Antonina</w:t>
      </w:r>
    </w:p>
    <w:p w:rsidR="00366F19" w:rsidRDefault="00366F19" w:rsidP="00CD615C">
      <w:pPr>
        <w:pStyle w:val="Legenda"/>
      </w:pPr>
      <w:r>
        <w:t>Fonte: Modificado de SOARES &amp; LAMOUR (2008)</w:t>
      </w:r>
    </w:p>
    <w:p w:rsidR="00366F19" w:rsidRDefault="00366F19" w:rsidP="00366F19">
      <w:pPr>
        <w:jc w:val="both"/>
      </w:pPr>
    </w:p>
    <w:p w:rsidR="00F23EA2" w:rsidRDefault="00F23EA2" w:rsidP="00F23EA2">
      <w:pPr>
        <w:ind w:firstLine="700"/>
        <w:jc w:val="both"/>
      </w:pPr>
      <w:r>
        <w:rPr>
          <w:sz w:val="24"/>
          <w:szCs w:val="24"/>
          <w:highlight w:val="white"/>
        </w:rPr>
        <w:lastRenderedPageBreak/>
        <w:t xml:space="preserve">De acordo com os dados obtidos a partir de entrevistas realizadas com o Eng. </w:t>
      </w:r>
      <w:proofErr w:type="spellStart"/>
      <w:r>
        <w:rPr>
          <w:sz w:val="24"/>
          <w:szCs w:val="24"/>
          <w:highlight w:val="white"/>
        </w:rPr>
        <w:t>Geert</w:t>
      </w:r>
      <w:proofErr w:type="spellEnd"/>
      <w:r>
        <w:rPr>
          <w:sz w:val="24"/>
          <w:szCs w:val="24"/>
          <w:highlight w:val="white"/>
        </w:rPr>
        <w:t xml:space="preserve"> </w:t>
      </w:r>
      <w:proofErr w:type="spellStart"/>
      <w:r>
        <w:rPr>
          <w:sz w:val="24"/>
          <w:szCs w:val="24"/>
          <w:highlight w:val="white"/>
        </w:rPr>
        <w:t>Prange</w:t>
      </w:r>
      <w:proofErr w:type="spellEnd"/>
      <w:r>
        <w:rPr>
          <w:sz w:val="24"/>
          <w:szCs w:val="24"/>
          <w:highlight w:val="white"/>
        </w:rPr>
        <w:t xml:space="preserve"> em 10/12/2007 e 21/05/2009, os navios que frequentam atualmente os portos de Paranaguá e Antonina são: </w:t>
      </w:r>
      <w:proofErr w:type="spellStart"/>
      <w:r>
        <w:rPr>
          <w:sz w:val="24"/>
          <w:szCs w:val="24"/>
          <w:highlight w:val="white"/>
        </w:rPr>
        <w:t>graneleiros</w:t>
      </w:r>
      <w:proofErr w:type="spellEnd"/>
      <w:r>
        <w:rPr>
          <w:sz w:val="24"/>
          <w:szCs w:val="24"/>
          <w:highlight w:val="white"/>
        </w:rPr>
        <w:t xml:space="preserve"> para cargas agrícolas a granel como soja, milhos, farelos; </w:t>
      </w:r>
      <w:proofErr w:type="spellStart"/>
      <w:r>
        <w:rPr>
          <w:sz w:val="24"/>
          <w:szCs w:val="24"/>
          <w:highlight w:val="white"/>
        </w:rPr>
        <w:t>Panamax</w:t>
      </w:r>
      <w:proofErr w:type="spellEnd"/>
      <w:r>
        <w:rPr>
          <w:sz w:val="24"/>
          <w:szCs w:val="24"/>
          <w:highlight w:val="white"/>
        </w:rPr>
        <w:t xml:space="preserve"> e </w:t>
      </w:r>
      <w:proofErr w:type="spellStart"/>
      <w:r>
        <w:rPr>
          <w:sz w:val="24"/>
          <w:szCs w:val="24"/>
          <w:highlight w:val="white"/>
        </w:rPr>
        <w:t>Capesize</w:t>
      </w:r>
      <w:proofErr w:type="spellEnd"/>
      <w:r>
        <w:rPr>
          <w:sz w:val="24"/>
          <w:szCs w:val="24"/>
          <w:highlight w:val="white"/>
        </w:rPr>
        <w:t xml:space="preserve">, cuja boca não ultrapassa 32,20 m; navios </w:t>
      </w:r>
      <w:proofErr w:type="spellStart"/>
      <w:r>
        <w:rPr>
          <w:sz w:val="24"/>
          <w:szCs w:val="24"/>
          <w:highlight w:val="white"/>
        </w:rPr>
        <w:t>graneleiros</w:t>
      </w:r>
      <w:proofErr w:type="spellEnd"/>
      <w:r>
        <w:rPr>
          <w:sz w:val="24"/>
          <w:szCs w:val="24"/>
          <w:highlight w:val="white"/>
        </w:rPr>
        <w:t xml:space="preserve"> para descarga de fertilizantes, sempre inferiores aos </w:t>
      </w:r>
      <w:proofErr w:type="spellStart"/>
      <w:r>
        <w:rPr>
          <w:sz w:val="24"/>
          <w:szCs w:val="24"/>
          <w:highlight w:val="white"/>
        </w:rPr>
        <w:t>Panamax</w:t>
      </w:r>
      <w:proofErr w:type="spellEnd"/>
      <w:r>
        <w:rPr>
          <w:sz w:val="24"/>
          <w:szCs w:val="24"/>
          <w:highlight w:val="white"/>
        </w:rPr>
        <w:t xml:space="preserve">; navios </w:t>
      </w:r>
      <w:proofErr w:type="spellStart"/>
      <w:r>
        <w:rPr>
          <w:sz w:val="24"/>
          <w:szCs w:val="24"/>
          <w:highlight w:val="white"/>
        </w:rPr>
        <w:t>graneleiros</w:t>
      </w:r>
      <w:proofErr w:type="spellEnd"/>
      <w:r>
        <w:rPr>
          <w:sz w:val="24"/>
          <w:szCs w:val="24"/>
          <w:highlight w:val="white"/>
        </w:rPr>
        <w:t xml:space="preserve"> mistos de carga seca, que transportam cargas volumosas em fardos (madeira basicamente); navios cargueiros convencionais de até 20.000 t, para cargas comuns como açúcar a granel ou ensacado, em lotes pequenos, de 14.000 a 20.000 t, entre outras cargas; navios frigoríficos, principalmente para o transporte de frango congelado para o Golfo Pérsico e Rússia, de 5.000 a 7.000 t de carga congelada; navios </w:t>
      </w:r>
      <w:proofErr w:type="spellStart"/>
      <w:r>
        <w:rPr>
          <w:sz w:val="24"/>
          <w:szCs w:val="24"/>
          <w:highlight w:val="white"/>
        </w:rPr>
        <w:t>Minibulkers</w:t>
      </w:r>
      <w:proofErr w:type="spellEnd"/>
      <w:r>
        <w:rPr>
          <w:sz w:val="24"/>
          <w:szCs w:val="24"/>
          <w:highlight w:val="white"/>
        </w:rPr>
        <w:t xml:space="preserve"> ou </w:t>
      </w:r>
      <w:proofErr w:type="spellStart"/>
      <w:r>
        <w:rPr>
          <w:sz w:val="24"/>
          <w:szCs w:val="24"/>
          <w:highlight w:val="white"/>
        </w:rPr>
        <w:t>Handybulker</w:t>
      </w:r>
      <w:proofErr w:type="spellEnd"/>
      <w:r>
        <w:rPr>
          <w:sz w:val="24"/>
          <w:szCs w:val="24"/>
          <w:highlight w:val="white"/>
        </w:rPr>
        <w:t xml:space="preserve">, para a exportação de barras de aço, desde 2.000 </w:t>
      </w:r>
      <w:proofErr w:type="spellStart"/>
      <w:r>
        <w:rPr>
          <w:sz w:val="24"/>
          <w:szCs w:val="24"/>
          <w:highlight w:val="white"/>
        </w:rPr>
        <w:t>TEU’s</w:t>
      </w:r>
      <w:proofErr w:type="spellEnd"/>
      <w:r>
        <w:rPr>
          <w:sz w:val="24"/>
          <w:szCs w:val="24"/>
          <w:highlight w:val="white"/>
        </w:rPr>
        <w:t xml:space="preserve"> (</w:t>
      </w:r>
      <w:proofErr w:type="spellStart"/>
      <w:r>
        <w:rPr>
          <w:i/>
          <w:sz w:val="24"/>
          <w:szCs w:val="24"/>
          <w:highlight w:val="white"/>
        </w:rPr>
        <w:t>Twenty</w:t>
      </w:r>
      <w:proofErr w:type="spellEnd"/>
      <w:r>
        <w:rPr>
          <w:i/>
          <w:sz w:val="24"/>
          <w:szCs w:val="24"/>
          <w:highlight w:val="white"/>
        </w:rPr>
        <w:t xml:space="preserve"> </w:t>
      </w:r>
      <w:proofErr w:type="spellStart"/>
      <w:r>
        <w:rPr>
          <w:i/>
          <w:sz w:val="24"/>
          <w:szCs w:val="24"/>
          <w:highlight w:val="white"/>
        </w:rPr>
        <w:t>Equivalent</w:t>
      </w:r>
      <w:proofErr w:type="spellEnd"/>
      <w:r>
        <w:rPr>
          <w:i/>
          <w:sz w:val="24"/>
          <w:szCs w:val="24"/>
          <w:highlight w:val="white"/>
        </w:rPr>
        <w:t xml:space="preserve"> Unit, unidade equivalente a vinte pés)</w:t>
      </w:r>
      <w:r>
        <w:rPr>
          <w:sz w:val="24"/>
          <w:szCs w:val="24"/>
          <w:highlight w:val="white"/>
        </w:rPr>
        <w:t xml:space="preserve"> até 4.500 </w:t>
      </w:r>
      <w:proofErr w:type="spellStart"/>
      <w:r>
        <w:rPr>
          <w:sz w:val="24"/>
          <w:szCs w:val="24"/>
          <w:highlight w:val="white"/>
        </w:rPr>
        <w:t>TEU’s</w:t>
      </w:r>
      <w:proofErr w:type="spellEnd"/>
      <w:r>
        <w:rPr>
          <w:sz w:val="24"/>
          <w:szCs w:val="24"/>
          <w:highlight w:val="white"/>
        </w:rPr>
        <w:t xml:space="preserve">, de tamanhos variados, menores que os navios </w:t>
      </w:r>
      <w:proofErr w:type="spellStart"/>
      <w:r>
        <w:rPr>
          <w:sz w:val="24"/>
          <w:szCs w:val="24"/>
          <w:highlight w:val="white"/>
        </w:rPr>
        <w:t>Panamax</w:t>
      </w:r>
      <w:proofErr w:type="spellEnd"/>
      <w:r>
        <w:rPr>
          <w:sz w:val="24"/>
          <w:szCs w:val="24"/>
          <w:highlight w:val="white"/>
        </w:rPr>
        <w:t xml:space="preserve">; navios </w:t>
      </w:r>
      <w:proofErr w:type="spellStart"/>
      <w:proofErr w:type="gramStart"/>
      <w:r>
        <w:rPr>
          <w:sz w:val="24"/>
          <w:szCs w:val="24"/>
          <w:highlight w:val="white"/>
        </w:rPr>
        <w:t>Ro</w:t>
      </w:r>
      <w:proofErr w:type="gramEnd"/>
      <w:r>
        <w:rPr>
          <w:sz w:val="24"/>
          <w:szCs w:val="24"/>
          <w:highlight w:val="white"/>
        </w:rPr>
        <w:t>-Ro</w:t>
      </w:r>
      <w:proofErr w:type="spellEnd"/>
      <w:r>
        <w:rPr>
          <w:sz w:val="24"/>
          <w:szCs w:val="24"/>
          <w:highlight w:val="white"/>
        </w:rPr>
        <w:t xml:space="preserve"> (Rol-</w:t>
      </w:r>
      <w:proofErr w:type="spellStart"/>
      <w:r>
        <w:rPr>
          <w:sz w:val="24"/>
          <w:szCs w:val="24"/>
          <w:highlight w:val="white"/>
        </w:rPr>
        <w:t>on</w:t>
      </w:r>
      <w:proofErr w:type="spellEnd"/>
      <w:r>
        <w:rPr>
          <w:sz w:val="24"/>
          <w:szCs w:val="24"/>
          <w:highlight w:val="white"/>
        </w:rPr>
        <w:t xml:space="preserve">/ </w:t>
      </w:r>
      <w:proofErr w:type="spellStart"/>
      <w:r>
        <w:rPr>
          <w:sz w:val="24"/>
          <w:szCs w:val="24"/>
          <w:highlight w:val="white"/>
        </w:rPr>
        <w:t>Roll-of</w:t>
      </w:r>
      <w:proofErr w:type="spellEnd"/>
      <w:r>
        <w:rPr>
          <w:sz w:val="24"/>
          <w:szCs w:val="24"/>
          <w:highlight w:val="white"/>
        </w:rPr>
        <w:t xml:space="preserve">) e/ou </w:t>
      </w:r>
      <w:proofErr w:type="spellStart"/>
      <w:r>
        <w:rPr>
          <w:sz w:val="24"/>
          <w:szCs w:val="24"/>
          <w:highlight w:val="white"/>
        </w:rPr>
        <w:t>Pure</w:t>
      </w:r>
      <w:proofErr w:type="spellEnd"/>
      <w:r>
        <w:rPr>
          <w:sz w:val="24"/>
          <w:szCs w:val="24"/>
          <w:highlight w:val="white"/>
        </w:rPr>
        <w:t xml:space="preserve"> </w:t>
      </w:r>
      <w:proofErr w:type="spellStart"/>
      <w:r>
        <w:rPr>
          <w:sz w:val="24"/>
          <w:szCs w:val="24"/>
          <w:highlight w:val="white"/>
        </w:rPr>
        <w:t>Car</w:t>
      </w:r>
      <w:proofErr w:type="spellEnd"/>
      <w:r>
        <w:rPr>
          <w:sz w:val="24"/>
          <w:szCs w:val="24"/>
          <w:highlight w:val="white"/>
        </w:rPr>
        <w:t xml:space="preserve"> Carrier (PCC), exclusivamente para o transporte de automóveis; e navios tanque para produtos inflamáveis (derivados de petróleo), navios tanque exclusivamente para óleos vegetais, e os navios tanque químicos, que transportam outros produtos como ácido sulfúrico, etc. e os navios </w:t>
      </w:r>
      <w:proofErr w:type="spellStart"/>
      <w:r>
        <w:rPr>
          <w:sz w:val="24"/>
          <w:szCs w:val="24"/>
          <w:highlight w:val="white"/>
        </w:rPr>
        <w:t>gaseiros</w:t>
      </w:r>
      <w:proofErr w:type="spellEnd"/>
      <w:r>
        <w:rPr>
          <w:sz w:val="24"/>
          <w:szCs w:val="24"/>
          <w:highlight w:val="white"/>
        </w:rPr>
        <w:t xml:space="preserve"> para LPG (</w:t>
      </w:r>
      <w:proofErr w:type="spellStart"/>
      <w:r>
        <w:rPr>
          <w:sz w:val="24"/>
          <w:szCs w:val="24"/>
          <w:highlight w:val="white"/>
        </w:rPr>
        <w:t>liquefied</w:t>
      </w:r>
      <w:proofErr w:type="spellEnd"/>
      <w:r>
        <w:rPr>
          <w:sz w:val="24"/>
          <w:szCs w:val="24"/>
          <w:highlight w:val="white"/>
        </w:rPr>
        <w:t xml:space="preserve"> </w:t>
      </w:r>
      <w:proofErr w:type="spellStart"/>
      <w:r>
        <w:rPr>
          <w:sz w:val="24"/>
          <w:szCs w:val="24"/>
          <w:highlight w:val="white"/>
        </w:rPr>
        <w:t>petroleum</w:t>
      </w:r>
      <w:proofErr w:type="spellEnd"/>
      <w:r>
        <w:rPr>
          <w:sz w:val="24"/>
          <w:szCs w:val="24"/>
          <w:highlight w:val="white"/>
        </w:rPr>
        <w:t xml:space="preserve"> </w:t>
      </w:r>
      <w:proofErr w:type="spellStart"/>
      <w:r>
        <w:rPr>
          <w:sz w:val="24"/>
          <w:szCs w:val="24"/>
          <w:highlight w:val="white"/>
        </w:rPr>
        <w:t>gas</w:t>
      </w:r>
      <w:proofErr w:type="spellEnd"/>
      <w:r>
        <w:rPr>
          <w:sz w:val="24"/>
          <w:szCs w:val="24"/>
          <w:highlight w:val="white"/>
        </w:rPr>
        <w:t xml:space="preserve">). O maior navio que entrou no Porto de Paranaguá foi o </w:t>
      </w:r>
      <w:proofErr w:type="spellStart"/>
      <w:r>
        <w:rPr>
          <w:sz w:val="24"/>
          <w:szCs w:val="24"/>
          <w:highlight w:val="white"/>
        </w:rPr>
        <w:t>Stelle</w:t>
      </w:r>
      <w:proofErr w:type="spellEnd"/>
      <w:r>
        <w:rPr>
          <w:sz w:val="24"/>
          <w:szCs w:val="24"/>
          <w:highlight w:val="white"/>
        </w:rPr>
        <w:t xml:space="preserve"> J</w:t>
      </w:r>
      <w:proofErr w:type="gramStart"/>
      <w:r>
        <w:rPr>
          <w:sz w:val="24"/>
          <w:szCs w:val="24"/>
          <w:highlight w:val="white"/>
        </w:rPr>
        <w:t>.,</w:t>
      </w:r>
      <w:proofErr w:type="gramEnd"/>
      <w:r>
        <w:rPr>
          <w:sz w:val="24"/>
          <w:szCs w:val="24"/>
          <w:highlight w:val="white"/>
        </w:rPr>
        <w:t xml:space="preserve"> que tinha 287 m de comprimento, de 150.000 t DWT (</w:t>
      </w:r>
      <w:proofErr w:type="spellStart"/>
      <w:r>
        <w:rPr>
          <w:i/>
          <w:sz w:val="24"/>
          <w:szCs w:val="24"/>
          <w:highlight w:val="white"/>
        </w:rPr>
        <w:t>Deadweight</w:t>
      </w:r>
      <w:proofErr w:type="spellEnd"/>
      <w:r>
        <w:rPr>
          <w:i/>
          <w:sz w:val="24"/>
          <w:szCs w:val="24"/>
          <w:highlight w:val="white"/>
        </w:rPr>
        <w:t xml:space="preserve"> </w:t>
      </w:r>
      <w:proofErr w:type="spellStart"/>
      <w:r>
        <w:rPr>
          <w:i/>
          <w:sz w:val="24"/>
          <w:szCs w:val="24"/>
          <w:highlight w:val="white"/>
        </w:rPr>
        <w:t>Tonnage</w:t>
      </w:r>
      <w:proofErr w:type="spellEnd"/>
      <w:r>
        <w:rPr>
          <w:i/>
          <w:sz w:val="24"/>
          <w:szCs w:val="24"/>
          <w:highlight w:val="white"/>
        </w:rPr>
        <w:t>)</w:t>
      </w:r>
      <w:r>
        <w:rPr>
          <w:sz w:val="24"/>
          <w:szCs w:val="24"/>
          <w:highlight w:val="white"/>
        </w:rPr>
        <w:t xml:space="preserve"> (SOARES, 2009).</w:t>
      </w:r>
    </w:p>
    <w:p w:rsidR="005D68E0" w:rsidRDefault="005D68E0" w:rsidP="005D68E0">
      <w:pPr>
        <w:keepNext/>
      </w:pPr>
      <w:r w:rsidRPr="00C4278D">
        <w:rPr>
          <w:rFonts w:cstheme="minorHAnsi"/>
          <w:noProof/>
        </w:rPr>
        <w:drawing>
          <wp:inline distT="0" distB="0" distL="0" distR="0" wp14:anchorId="127EECC3" wp14:editId="2A4D9F8E">
            <wp:extent cx="4953000" cy="2546507"/>
            <wp:effectExtent l="0" t="0" r="0" b="635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53000" cy="2546507"/>
                    </a:xfrm>
                    <a:prstGeom prst="rect">
                      <a:avLst/>
                    </a:prstGeom>
                    <a:noFill/>
                    <a:ln>
                      <a:noFill/>
                    </a:ln>
                  </pic:spPr>
                </pic:pic>
              </a:graphicData>
            </a:graphic>
          </wp:inline>
        </w:drawing>
      </w:r>
    </w:p>
    <w:p w:rsidR="005D68E0" w:rsidRDefault="005D68E0" w:rsidP="00CD615C">
      <w:pPr>
        <w:pStyle w:val="Legenda"/>
      </w:pPr>
      <w:r>
        <w:t xml:space="preserve">Figura </w:t>
      </w:r>
      <w:r w:rsidR="00702BA8">
        <w:fldChar w:fldCharType="begin"/>
      </w:r>
      <w:r w:rsidR="00702BA8">
        <w:instrText xml:space="preserve"> SEQ Figura \* ARABIC </w:instrText>
      </w:r>
      <w:r w:rsidR="00702BA8">
        <w:fldChar w:fldCharType="separate"/>
      </w:r>
      <w:r w:rsidR="00CD615C">
        <w:rPr>
          <w:noProof/>
        </w:rPr>
        <w:t>8</w:t>
      </w:r>
      <w:r w:rsidR="00702BA8">
        <w:rPr>
          <w:noProof/>
        </w:rPr>
        <w:fldChar w:fldCharType="end"/>
      </w:r>
      <w:r>
        <w:t xml:space="preserve"> - </w:t>
      </w:r>
      <w:r w:rsidRPr="005D68E0">
        <w:t xml:space="preserve">Movimentação de navios nos portos de Paranaguá e Antonina, por </w:t>
      </w:r>
      <w:proofErr w:type="gramStart"/>
      <w:r w:rsidRPr="005D68E0">
        <w:t>tipologia</w:t>
      </w:r>
      <w:proofErr w:type="gramEnd"/>
    </w:p>
    <w:p w:rsidR="00366F19" w:rsidRDefault="005D68E0" w:rsidP="005D68E0">
      <w:r>
        <w:t>Fonte: SOARES, 2009</w:t>
      </w:r>
    </w:p>
    <w:p w:rsidR="0000382E" w:rsidRDefault="0000382E" w:rsidP="00D5117D">
      <w:pPr>
        <w:pStyle w:val="Ttulo2"/>
        <w:tabs>
          <w:tab w:val="clear" w:pos="860"/>
          <w:tab w:val="num" w:pos="0"/>
        </w:tabs>
        <w:ind w:left="0" w:firstLine="0"/>
        <w:rPr>
          <w:b w:val="0"/>
        </w:rPr>
      </w:pPr>
      <w:r>
        <w:rPr>
          <w:b w:val="0"/>
        </w:rPr>
        <w:lastRenderedPageBreak/>
        <w:t>ÁREAS DE ESPERA DENTRO DO COMPLEXO ESTUARINO DE PARANAGUÁ (CEP)</w:t>
      </w:r>
    </w:p>
    <w:p w:rsidR="00D5117D" w:rsidRPr="00D5117D" w:rsidRDefault="00D5117D" w:rsidP="00D5117D">
      <w:pPr>
        <w:pStyle w:val="Ttulo3"/>
        <w:numPr>
          <w:ilvl w:val="2"/>
          <w:numId w:val="3"/>
        </w:numPr>
        <w:rPr>
          <w:b w:val="0"/>
          <w:sz w:val="24"/>
          <w:szCs w:val="24"/>
        </w:rPr>
      </w:pPr>
      <w:r w:rsidRPr="00D5117D">
        <w:rPr>
          <w:b w:val="0"/>
          <w:sz w:val="24"/>
          <w:szCs w:val="24"/>
        </w:rPr>
        <w:t xml:space="preserve">Permanência de navios </w:t>
      </w:r>
      <w:r w:rsidR="00BD7775">
        <w:rPr>
          <w:b w:val="0"/>
          <w:sz w:val="24"/>
          <w:szCs w:val="24"/>
        </w:rPr>
        <w:t>em áreas adjacentes às</w:t>
      </w:r>
      <w:r w:rsidRPr="00D5117D">
        <w:rPr>
          <w:b w:val="0"/>
          <w:sz w:val="24"/>
          <w:szCs w:val="24"/>
        </w:rPr>
        <w:t xml:space="preserve"> Unidades de Conservação</w:t>
      </w:r>
    </w:p>
    <w:p w:rsidR="00F23EA2" w:rsidRDefault="00F23EA2" w:rsidP="00F23EA2">
      <w:pPr>
        <w:ind w:firstLine="700"/>
        <w:jc w:val="both"/>
      </w:pPr>
      <w:r>
        <w:rPr>
          <w:sz w:val="24"/>
          <w:szCs w:val="24"/>
          <w:highlight w:val="white"/>
        </w:rPr>
        <w:t xml:space="preserve">De acordo com o EIA/RIMA realizado pela empresa de consultoria ambiental ENGEMIN Engenharia e Geologia </w:t>
      </w:r>
      <w:proofErr w:type="spellStart"/>
      <w:r>
        <w:rPr>
          <w:sz w:val="24"/>
          <w:szCs w:val="24"/>
          <w:highlight w:val="white"/>
        </w:rPr>
        <w:t>Ltda</w:t>
      </w:r>
      <w:proofErr w:type="spellEnd"/>
      <w:r>
        <w:rPr>
          <w:sz w:val="24"/>
          <w:szCs w:val="24"/>
          <w:highlight w:val="white"/>
        </w:rPr>
        <w:t>, em 2004, as áreas de espera dentro da baía de Paranaguá incluem 2.616 m ao longo de toda extensão do Cais, com 700 m de largura e profundidades variáveis, constituída pela Bacia de Evolução e que se destina às manobras das embarcações, como também fundeadouros espalhados por todo o complexo e também fora dele. A permanência dos navios dentro ou fora da baía aguardando para atracar é monitorada pela Estação de Controle do Tráfego Marítimo (ECTM), e não será cobrada tarifação extra por tempo de espera. O que implicará se o navio irá aguardar dentro ou fora da baía, será o número de navios na fila de espera e a demanda do terminal de destino.</w:t>
      </w:r>
    </w:p>
    <w:p w:rsidR="00F23EA2" w:rsidRDefault="00F23EA2" w:rsidP="00F23EA2">
      <w:pPr>
        <w:ind w:firstLine="280"/>
        <w:jc w:val="both"/>
      </w:pPr>
      <w:r>
        <w:rPr>
          <w:sz w:val="24"/>
          <w:szCs w:val="24"/>
          <w:highlight w:val="white"/>
        </w:rPr>
        <w:t xml:space="preserve">Os limites da APA de Guaraqueçaba abrangem uma parte de quase todo o canal navegável do CEP e estão sujeitas às </w:t>
      </w:r>
      <w:proofErr w:type="spellStart"/>
      <w:r>
        <w:rPr>
          <w:sz w:val="24"/>
          <w:szCs w:val="24"/>
          <w:highlight w:val="white"/>
        </w:rPr>
        <w:t>influêcias</w:t>
      </w:r>
      <w:proofErr w:type="spellEnd"/>
      <w:r>
        <w:rPr>
          <w:sz w:val="24"/>
          <w:szCs w:val="24"/>
          <w:highlight w:val="white"/>
        </w:rPr>
        <w:t xml:space="preserve"> das atividades portuárias exercidas nestes locais, cujos limites e destinação são indicados a seguir.</w:t>
      </w:r>
    </w:p>
    <w:p w:rsidR="00F23EA2" w:rsidRDefault="00F23EA2" w:rsidP="00F23EA2">
      <w:pPr>
        <w:ind w:firstLine="280"/>
        <w:jc w:val="both"/>
      </w:pPr>
      <w:r>
        <w:rPr>
          <w:b/>
          <w:sz w:val="24"/>
          <w:szCs w:val="24"/>
          <w:highlight w:val="white"/>
        </w:rPr>
        <w:t>Área n.º 1:</w:t>
      </w:r>
      <w:r>
        <w:rPr>
          <w:sz w:val="24"/>
          <w:szCs w:val="24"/>
          <w:highlight w:val="white"/>
        </w:rPr>
        <w:t xml:space="preserve"> esta área é destinada a navios que operam no Porto de Antonina e navios fundeados na operação de carga e descarga, aguardando atracação. Este fundeadouro somente poderá ser utilizado quando não existirem navios programados para o Porto de Antonina e/ou para o Terminal de Ponta do Félix.</w:t>
      </w:r>
    </w:p>
    <w:p w:rsidR="00F23EA2" w:rsidRDefault="00F23EA2" w:rsidP="00F23EA2">
      <w:pPr>
        <w:ind w:firstLine="280"/>
        <w:jc w:val="both"/>
      </w:pPr>
      <w:r>
        <w:rPr>
          <w:b/>
          <w:sz w:val="24"/>
          <w:szCs w:val="24"/>
          <w:highlight w:val="white"/>
        </w:rPr>
        <w:t xml:space="preserve">Área n.º 2: </w:t>
      </w:r>
      <w:r>
        <w:rPr>
          <w:sz w:val="24"/>
          <w:szCs w:val="24"/>
          <w:highlight w:val="white"/>
        </w:rPr>
        <w:t xml:space="preserve">é destinada a navios em uma das situações ou com comprimentos mencionados a seguir, observada a ordem de prioridade para fundeio em que estiverem relacionados: navios aguardando atracação no Terminal de Ponta do Félix, com até 185 m de comprimento e até 26,3 pés de calado; navios com comprimento de até 200 m e calado máximo de 37 pés, destinados </w:t>
      </w:r>
      <w:proofErr w:type="gramStart"/>
      <w:r>
        <w:rPr>
          <w:sz w:val="24"/>
          <w:szCs w:val="24"/>
          <w:highlight w:val="white"/>
        </w:rPr>
        <w:t>a</w:t>
      </w:r>
      <w:proofErr w:type="gramEnd"/>
      <w:r>
        <w:rPr>
          <w:sz w:val="24"/>
          <w:szCs w:val="24"/>
          <w:highlight w:val="white"/>
        </w:rPr>
        <w:t xml:space="preserve"> operação com o Porto de Paranaguá; navios aguardando reabastecimento de óleo combustível e ou lubrificante para consumo próprio, com comprimento até 200 m e até 37 pés de calado; e navios realizando operações de transbordo de carga para o Porto de Antonina, com comprimento de até 200 m e até 37 pés de calado.</w:t>
      </w:r>
    </w:p>
    <w:p w:rsidR="00F23EA2" w:rsidRDefault="00F23EA2" w:rsidP="00F23EA2">
      <w:pPr>
        <w:ind w:firstLine="280"/>
        <w:jc w:val="both"/>
      </w:pPr>
      <w:r>
        <w:rPr>
          <w:sz w:val="24"/>
          <w:szCs w:val="24"/>
          <w:highlight w:val="white"/>
        </w:rPr>
        <w:t xml:space="preserve"> </w:t>
      </w:r>
      <w:r>
        <w:rPr>
          <w:b/>
          <w:sz w:val="24"/>
          <w:szCs w:val="24"/>
          <w:highlight w:val="white"/>
        </w:rPr>
        <w:t xml:space="preserve">Área n.º 3: </w:t>
      </w:r>
      <w:r>
        <w:rPr>
          <w:sz w:val="24"/>
          <w:szCs w:val="24"/>
          <w:highlight w:val="white"/>
        </w:rPr>
        <w:t>destinada a navios com comprimento inferior a 180 m e calado de 20 pés.</w:t>
      </w:r>
    </w:p>
    <w:p w:rsidR="00F23EA2" w:rsidRDefault="00F23EA2" w:rsidP="00F23EA2">
      <w:pPr>
        <w:ind w:firstLine="280"/>
        <w:jc w:val="both"/>
      </w:pPr>
      <w:r>
        <w:rPr>
          <w:b/>
          <w:sz w:val="24"/>
          <w:szCs w:val="24"/>
          <w:highlight w:val="white"/>
        </w:rPr>
        <w:lastRenderedPageBreak/>
        <w:t xml:space="preserve">Área n.º 4: </w:t>
      </w:r>
      <w:r>
        <w:rPr>
          <w:sz w:val="24"/>
          <w:szCs w:val="24"/>
          <w:highlight w:val="white"/>
        </w:rPr>
        <w:t>destinada a navios com comprimento inferior a 180 m e calado de até 23 pés.</w:t>
      </w:r>
    </w:p>
    <w:p w:rsidR="00F23EA2" w:rsidRDefault="00F23EA2" w:rsidP="00F23EA2">
      <w:pPr>
        <w:ind w:firstLine="280"/>
        <w:jc w:val="both"/>
      </w:pPr>
      <w:r>
        <w:rPr>
          <w:b/>
          <w:sz w:val="24"/>
          <w:szCs w:val="24"/>
          <w:highlight w:val="white"/>
        </w:rPr>
        <w:t xml:space="preserve">Área n.º 5: </w:t>
      </w:r>
      <w:r>
        <w:rPr>
          <w:sz w:val="24"/>
          <w:szCs w:val="24"/>
          <w:highlight w:val="white"/>
        </w:rPr>
        <w:t>destinada a navios a serem submetidos a visitas das autoridades de Saúde dos Portos e outras, quando as condições do navio assim</w:t>
      </w:r>
      <w:proofErr w:type="gramStart"/>
      <w:r>
        <w:rPr>
          <w:sz w:val="24"/>
          <w:szCs w:val="24"/>
          <w:highlight w:val="white"/>
        </w:rPr>
        <w:t xml:space="preserve">  </w:t>
      </w:r>
      <w:proofErr w:type="gramEnd"/>
      <w:r>
        <w:rPr>
          <w:sz w:val="24"/>
          <w:szCs w:val="24"/>
          <w:highlight w:val="white"/>
        </w:rPr>
        <w:t>recomendarem. O calado chega até 37 pés.</w:t>
      </w:r>
    </w:p>
    <w:p w:rsidR="00F23EA2" w:rsidRDefault="00F23EA2" w:rsidP="00F23EA2">
      <w:pPr>
        <w:ind w:firstLine="280"/>
        <w:jc w:val="both"/>
      </w:pPr>
      <w:r>
        <w:rPr>
          <w:b/>
          <w:sz w:val="24"/>
          <w:szCs w:val="24"/>
          <w:highlight w:val="white"/>
        </w:rPr>
        <w:t xml:space="preserve">Área n.º 6: </w:t>
      </w:r>
      <w:r>
        <w:rPr>
          <w:sz w:val="24"/>
          <w:szCs w:val="24"/>
          <w:highlight w:val="white"/>
        </w:rPr>
        <w:t>destinada a navios com comprimento maior do que 180 m e a navios de qualquer porte e com calado de até 41 pés, que sejam compatíveis com as condições físicas da área e que necessitem de reabastecimento de óleo combustível e ou lubrificante, para consumo próprio.</w:t>
      </w:r>
    </w:p>
    <w:p w:rsidR="00F23EA2" w:rsidRDefault="00F23EA2" w:rsidP="00F23EA2">
      <w:pPr>
        <w:ind w:firstLine="280"/>
        <w:jc w:val="both"/>
      </w:pPr>
      <w:r>
        <w:rPr>
          <w:b/>
          <w:sz w:val="24"/>
          <w:szCs w:val="24"/>
          <w:highlight w:val="white"/>
        </w:rPr>
        <w:t xml:space="preserve">Área n.º 7: </w:t>
      </w:r>
      <w:r>
        <w:rPr>
          <w:sz w:val="24"/>
          <w:szCs w:val="24"/>
          <w:highlight w:val="white"/>
        </w:rPr>
        <w:t>destinada a navios em uma das seguintes situações ou tipos e porte, com calado de até 33 pés: navios de qualquer porte em quarentena; navios de qualquer porte operando com explosivos, produtos inflamáveis e outros produtos agressivos, considerados prejudiciais ao meio ambiente; navios que necessitem de reabastecimento de óleo combustível e ou lubrificante, para consumo próprio; navios com mais de 180 m de comprimento.</w:t>
      </w:r>
    </w:p>
    <w:p w:rsidR="00F23EA2" w:rsidRDefault="00F23EA2" w:rsidP="00F23EA2">
      <w:pPr>
        <w:ind w:firstLine="280"/>
        <w:jc w:val="both"/>
      </w:pPr>
      <w:r>
        <w:rPr>
          <w:b/>
          <w:sz w:val="24"/>
          <w:szCs w:val="24"/>
          <w:highlight w:val="white"/>
        </w:rPr>
        <w:t xml:space="preserve">Área n.º 8: </w:t>
      </w:r>
      <w:r>
        <w:rPr>
          <w:sz w:val="24"/>
          <w:szCs w:val="24"/>
          <w:highlight w:val="white"/>
        </w:rPr>
        <w:t>destinada a navios com comprimento maior do que 180 m e até 27 pés de calado.</w:t>
      </w:r>
    </w:p>
    <w:p w:rsidR="00F23EA2" w:rsidRDefault="00F23EA2" w:rsidP="00F23EA2">
      <w:pPr>
        <w:ind w:firstLine="280"/>
        <w:jc w:val="both"/>
      </w:pPr>
      <w:r>
        <w:rPr>
          <w:b/>
          <w:sz w:val="24"/>
          <w:szCs w:val="24"/>
          <w:highlight w:val="white"/>
        </w:rPr>
        <w:t xml:space="preserve">Área n.º 9: </w:t>
      </w:r>
      <w:r>
        <w:rPr>
          <w:sz w:val="24"/>
          <w:szCs w:val="24"/>
          <w:highlight w:val="white"/>
        </w:rPr>
        <w:t>destinada a navios com comprimento superior a 180 m e calado de até 33 pés.</w:t>
      </w:r>
    </w:p>
    <w:p w:rsidR="00F23EA2" w:rsidRDefault="00F23EA2" w:rsidP="00F23EA2">
      <w:pPr>
        <w:ind w:firstLine="280"/>
        <w:jc w:val="both"/>
      </w:pPr>
      <w:r>
        <w:rPr>
          <w:b/>
          <w:sz w:val="24"/>
          <w:szCs w:val="24"/>
          <w:highlight w:val="white"/>
        </w:rPr>
        <w:t xml:space="preserve">Área n.º 10: </w:t>
      </w:r>
      <w:r>
        <w:rPr>
          <w:sz w:val="24"/>
          <w:szCs w:val="24"/>
          <w:highlight w:val="white"/>
        </w:rPr>
        <w:t xml:space="preserve">destinada, exclusivamente, para fundeio e atracação de barcaças utilizadas no transporte das estruturas e de plataformas </w:t>
      </w:r>
      <w:proofErr w:type="gramStart"/>
      <w:r>
        <w:rPr>
          <w:i/>
          <w:sz w:val="24"/>
          <w:szCs w:val="24"/>
          <w:highlight w:val="white"/>
        </w:rPr>
        <w:t>off</w:t>
      </w:r>
      <w:proofErr w:type="gramEnd"/>
      <w:r>
        <w:rPr>
          <w:i/>
          <w:sz w:val="24"/>
          <w:szCs w:val="24"/>
          <w:highlight w:val="white"/>
        </w:rPr>
        <w:t xml:space="preserve"> </w:t>
      </w:r>
      <w:proofErr w:type="spellStart"/>
      <w:r>
        <w:rPr>
          <w:i/>
          <w:sz w:val="24"/>
          <w:szCs w:val="24"/>
          <w:highlight w:val="white"/>
        </w:rPr>
        <w:t>shore</w:t>
      </w:r>
      <w:proofErr w:type="spellEnd"/>
      <w:r>
        <w:rPr>
          <w:i/>
          <w:sz w:val="24"/>
          <w:szCs w:val="24"/>
          <w:highlight w:val="white"/>
        </w:rPr>
        <w:t>.</w:t>
      </w:r>
    </w:p>
    <w:p w:rsidR="00F23EA2" w:rsidRDefault="00F23EA2" w:rsidP="00F23EA2">
      <w:pPr>
        <w:ind w:firstLine="280"/>
        <w:jc w:val="both"/>
      </w:pPr>
      <w:r>
        <w:rPr>
          <w:b/>
          <w:sz w:val="24"/>
          <w:szCs w:val="24"/>
          <w:highlight w:val="white"/>
        </w:rPr>
        <w:t xml:space="preserve">Área n.º 11: </w:t>
      </w:r>
      <w:r>
        <w:rPr>
          <w:sz w:val="24"/>
          <w:szCs w:val="24"/>
          <w:highlight w:val="white"/>
        </w:rPr>
        <w:t>destinada a navios de qualquer comprimento e calado de 30 pés, aguardando atracação ou para navios aguardando melhoria das condições de meteorológicas para demandarem à Barra.</w:t>
      </w:r>
    </w:p>
    <w:p w:rsidR="00F23EA2" w:rsidRDefault="00F23EA2" w:rsidP="00F23EA2">
      <w:pPr>
        <w:ind w:firstLine="280"/>
        <w:jc w:val="both"/>
      </w:pPr>
      <w:r>
        <w:rPr>
          <w:b/>
          <w:sz w:val="24"/>
          <w:szCs w:val="24"/>
          <w:highlight w:val="white"/>
        </w:rPr>
        <w:t xml:space="preserve">Área n.º 12: </w:t>
      </w:r>
      <w:r>
        <w:rPr>
          <w:sz w:val="24"/>
          <w:szCs w:val="24"/>
          <w:highlight w:val="white"/>
        </w:rPr>
        <w:t>condicionada a data/hora, esta área é</w:t>
      </w:r>
      <w:r>
        <w:rPr>
          <w:b/>
          <w:sz w:val="24"/>
          <w:szCs w:val="24"/>
          <w:highlight w:val="white"/>
        </w:rPr>
        <w:t xml:space="preserve"> </w:t>
      </w:r>
      <w:r>
        <w:rPr>
          <w:sz w:val="24"/>
          <w:szCs w:val="24"/>
          <w:highlight w:val="white"/>
        </w:rPr>
        <w:t>destinada a navios fundeados por determinação e monitoramento da ECTM</w:t>
      </w:r>
      <w:r>
        <w:rPr>
          <w:b/>
          <w:sz w:val="24"/>
          <w:szCs w:val="24"/>
          <w:highlight w:val="white"/>
        </w:rPr>
        <w:t>,</w:t>
      </w:r>
      <w:r>
        <w:rPr>
          <w:sz w:val="24"/>
          <w:szCs w:val="24"/>
          <w:highlight w:val="white"/>
        </w:rPr>
        <w:t xml:space="preserve"> aguardando ordem para demandar a Baía de Paranaguá pelo Canal da Galheta. Sua profundidade varia de 12 a 17 m, sendo uma área </w:t>
      </w:r>
      <w:proofErr w:type="gramStart"/>
      <w:r>
        <w:rPr>
          <w:sz w:val="24"/>
          <w:szCs w:val="24"/>
          <w:highlight w:val="white"/>
        </w:rPr>
        <w:t>sob responsabilidade</w:t>
      </w:r>
      <w:proofErr w:type="gramEnd"/>
      <w:r>
        <w:rPr>
          <w:sz w:val="24"/>
          <w:szCs w:val="24"/>
          <w:highlight w:val="white"/>
        </w:rPr>
        <w:t xml:space="preserve"> da Autoridade Marítima, por estar fora da Área do Porto Organizado. A área é limitada pelo Paralelo 25º44´50"S, pelo </w:t>
      </w:r>
      <w:proofErr w:type="gramStart"/>
      <w:r>
        <w:rPr>
          <w:sz w:val="24"/>
          <w:szCs w:val="24"/>
          <w:highlight w:val="white"/>
        </w:rPr>
        <w:t>Meridiano 48º10´00"</w:t>
      </w:r>
      <w:proofErr w:type="gramEnd"/>
      <w:r>
        <w:rPr>
          <w:sz w:val="24"/>
          <w:szCs w:val="24"/>
          <w:highlight w:val="white"/>
        </w:rPr>
        <w:t xml:space="preserve">W e pelos pontos demarcados de acordo com a Carta Náutica n.º 1.824, </w:t>
      </w:r>
      <w:proofErr w:type="spellStart"/>
      <w:r>
        <w:rPr>
          <w:sz w:val="24"/>
          <w:szCs w:val="24"/>
          <w:highlight w:val="white"/>
        </w:rPr>
        <w:t>Datum</w:t>
      </w:r>
      <w:proofErr w:type="spellEnd"/>
      <w:r>
        <w:rPr>
          <w:sz w:val="24"/>
          <w:szCs w:val="24"/>
          <w:highlight w:val="white"/>
        </w:rPr>
        <w:t>: Córrego Alegre.</w:t>
      </w:r>
    </w:p>
    <w:p w:rsidR="00D5117D" w:rsidRDefault="00D5117D" w:rsidP="00D5117D">
      <w:pPr>
        <w:pStyle w:val="Corpodetexto"/>
        <w:spacing w:after="0" w:line="360" w:lineRule="auto"/>
        <w:ind w:firstLine="284"/>
        <w:jc w:val="both"/>
        <w:rPr>
          <w:rFonts w:ascii="Arial" w:hAnsi="Arial" w:cs="Arial"/>
          <w:iCs/>
        </w:rPr>
      </w:pPr>
    </w:p>
    <w:p w:rsidR="00D5117D" w:rsidRDefault="00D5117D" w:rsidP="00D5117D">
      <w:pPr>
        <w:pStyle w:val="Ttulo3"/>
        <w:numPr>
          <w:ilvl w:val="2"/>
          <w:numId w:val="3"/>
        </w:numPr>
        <w:spacing w:after="0"/>
        <w:rPr>
          <w:rFonts w:cs="Arial"/>
          <w:b w:val="0"/>
          <w:iCs/>
          <w:sz w:val="24"/>
        </w:rPr>
      </w:pPr>
      <w:r w:rsidRPr="00D5117D">
        <w:rPr>
          <w:rFonts w:cs="Arial"/>
          <w:b w:val="0"/>
          <w:iCs/>
          <w:sz w:val="24"/>
        </w:rPr>
        <w:lastRenderedPageBreak/>
        <w:t>Principais impactos que</w:t>
      </w:r>
      <w:r w:rsidR="005164DA">
        <w:rPr>
          <w:rFonts w:cs="Arial"/>
          <w:b w:val="0"/>
          <w:iCs/>
          <w:sz w:val="24"/>
        </w:rPr>
        <w:t xml:space="preserve"> envolvem</w:t>
      </w:r>
      <w:r w:rsidRPr="00D5117D">
        <w:rPr>
          <w:rFonts w:cs="Arial"/>
          <w:b w:val="0"/>
          <w:iCs/>
          <w:sz w:val="24"/>
        </w:rPr>
        <w:t xml:space="preserve"> a permanência dos navios </w:t>
      </w:r>
      <w:r w:rsidR="00BD7775">
        <w:rPr>
          <w:rFonts w:cs="Arial"/>
          <w:b w:val="0"/>
          <w:iCs/>
          <w:sz w:val="24"/>
        </w:rPr>
        <w:t>em áreas adjace</w:t>
      </w:r>
      <w:r w:rsidR="005164DA">
        <w:rPr>
          <w:rFonts w:cs="Arial"/>
          <w:b w:val="0"/>
          <w:iCs/>
          <w:sz w:val="24"/>
        </w:rPr>
        <w:t>ntes às</w:t>
      </w:r>
      <w:r w:rsidR="00E969F6">
        <w:rPr>
          <w:rFonts w:cs="Arial"/>
          <w:b w:val="0"/>
          <w:iCs/>
          <w:sz w:val="24"/>
        </w:rPr>
        <w:t xml:space="preserve"> UC</w:t>
      </w:r>
    </w:p>
    <w:p w:rsidR="00E969F6" w:rsidRPr="00E969F6" w:rsidRDefault="00E969F6" w:rsidP="00E969F6"/>
    <w:p w:rsidR="00F23EA2" w:rsidRPr="00E969F6" w:rsidRDefault="00E969F6" w:rsidP="00E969F6">
      <w:pPr>
        <w:pStyle w:val="CorpodeTextoCerroAzul"/>
      </w:pPr>
      <w:r>
        <w:rPr>
          <w:rFonts w:cs="Arial"/>
          <w:iCs/>
        </w:rPr>
        <w:tab/>
      </w:r>
      <w:r w:rsidR="00F23EA2" w:rsidRPr="00E969F6">
        <w:rPr>
          <w:highlight w:val="white"/>
        </w:rPr>
        <w:t>A complexidade dos impactos gerados pela atividade portuária, todavia não se limita apenas à área continental onde o porto se localiza, mas abrange o corpo aquoso adjacente, pois existe intensa movimentação de navios e a necessidade de dragagens, cuja atividade pode ter efeitos sobre a pesca da qual dependem comunidades locais, sobre a qualidade das águas costeiras e sobre o turismo, entre outros variados aspectos, que conduzem à necessidade de uma gestão adequada (SOARES, 2009).</w:t>
      </w:r>
    </w:p>
    <w:p w:rsidR="00F23EA2" w:rsidRDefault="00F23EA2" w:rsidP="00F23EA2">
      <w:pPr>
        <w:ind w:firstLine="700"/>
        <w:jc w:val="both"/>
      </w:pPr>
      <w:r>
        <w:rPr>
          <w:sz w:val="24"/>
          <w:szCs w:val="24"/>
          <w:highlight w:val="white"/>
        </w:rPr>
        <w:t xml:space="preserve">Dentro dos principais impactos, destacam-se: alterações na dinâmica costeira, com indução de processos erosivos e/ou assoreamento; modificações na linha de costa; supressão de manguezais e de outros ecossistemas costeiros; efeitos de dragagens e aterros; comprometimento de outros usos dos recursos ambientais, especialmente os tradicionais; alteração da paisagem; Ocorrência de </w:t>
      </w:r>
      <w:proofErr w:type="gramStart"/>
      <w:r>
        <w:rPr>
          <w:sz w:val="24"/>
          <w:szCs w:val="24"/>
          <w:highlight w:val="white"/>
        </w:rPr>
        <w:t>acidentes</w:t>
      </w:r>
      <w:proofErr w:type="gramEnd"/>
      <w:r>
        <w:rPr>
          <w:sz w:val="24"/>
          <w:szCs w:val="24"/>
          <w:highlight w:val="white"/>
        </w:rPr>
        <w:t xml:space="preserve"> </w:t>
      </w:r>
      <w:proofErr w:type="gramStart"/>
      <w:r>
        <w:rPr>
          <w:sz w:val="24"/>
          <w:szCs w:val="24"/>
          <w:highlight w:val="white"/>
        </w:rPr>
        <w:t>ambientais</w:t>
      </w:r>
      <w:proofErr w:type="gramEnd"/>
      <w:r>
        <w:rPr>
          <w:sz w:val="24"/>
          <w:szCs w:val="24"/>
          <w:highlight w:val="white"/>
        </w:rPr>
        <w:t xml:space="preserve"> (derrames, incêndios, perdas de cargas); dragagens de manutenção e disposição de sedimentos dragados; geração de resíduos sólidos nos navios; introdução de organismos invasores nocivos ou patogênicos por meio das águas de lastro ou por cargas ou passageiros contaminados; lançamento de efluentes líquidos e gasosos (incluindo odores); </w:t>
      </w:r>
    </w:p>
    <w:p w:rsidR="00F23EA2" w:rsidRDefault="00F23EA2" w:rsidP="00F23EA2">
      <w:pPr>
        <w:ind w:firstLine="700"/>
        <w:jc w:val="both"/>
      </w:pPr>
      <w:r>
        <w:rPr>
          <w:sz w:val="24"/>
          <w:szCs w:val="24"/>
          <w:highlight w:val="white"/>
        </w:rPr>
        <w:t xml:space="preserve">Quando do estabelecimento da Lei 8.630/1993, que pouco aborda a questão ambiental nos portos, e da Agenda Ambiental Portuária, em 1998, pelo Conselho Interministerial para os Recursos do Mar, não ficou estabelecido, de forma concreta, um modelo de </w:t>
      </w:r>
      <w:r>
        <w:rPr>
          <w:i/>
          <w:sz w:val="24"/>
          <w:szCs w:val="24"/>
          <w:highlight w:val="white"/>
        </w:rPr>
        <w:t xml:space="preserve">Gestão Ambiental Portuária </w:t>
      </w:r>
      <w:r>
        <w:rPr>
          <w:sz w:val="24"/>
          <w:szCs w:val="24"/>
          <w:highlight w:val="white"/>
        </w:rPr>
        <w:t>a ser seguido pelas administrações portuárias. Embora diretrizes mais específicas estejam dispersas nas leis, normas, portarias e demais instrumentos, prevê-se basicamente: o gerenciamento de resíduos sólidos, de efluentes e resíduos líquidos, de água de lastro, das dragagens, e a elaboração de distintos planos, como os de Emergência Individual (PEI), de Contingência, de Área e de Ajuda Mútua (PAM) (SOARES, 2009).</w:t>
      </w:r>
    </w:p>
    <w:p w:rsidR="00F23EA2" w:rsidRDefault="00F23EA2" w:rsidP="00F23EA2">
      <w:pPr>
        <w:ind w:firstLine="700"/>
        <w:jc w:val="both"/>
      </w:pPr>
      <w:r>
        <w:rPr>
          <w:sz w:val="24"/>
          <w:szCs w:val="24"/>
          <w:highlight w:val="white"/>
        </w:rPr>
        <w:t xml:space="preserve">Os terminais privados de cargas específicas, situadas dentro das </w:t>
      </w:r>
      <w:proofErr w:type="spellStart"/>
      <w:r>
        <w:rPr>
          <w:sz w:val="24"/>
          <w:szCs w:val="24"/>
          <w:highlight w:val="white"/>
        </w:rPr>
        <w:t>APO’s</w:t>
      </w:r>
      <w:proofErr w:type="spellEnd"/>
      <w:r>
        <w:rPr>
          <w:sz w:val="24"/>
          <w:szCs w:val="24"/>
          <w:highlight w:val="white"/>
        </w:rPr>
        <w:t xml:space="preserve"> (</w:t>
      </w:r>
      <w:proofErr w:type="spellStart"/>
      <w:r>
        <w:rPr>
          <w:sz w:val="24"/>
          <w:szCs w:val="24"/>
          <w:highlight w:val="white"/>
        </w:rPr>
        <w:t>Fospar</w:t>
      </w:r>
      <w:proofErr w:type="spellEnd"/>
      <w:r>
        <w:rPr>
          <w:sz w:val="24"/>
          <w:szCs w:val="24"/>
          <w:highlight w:val="white"/>
        </w:rPr>
        <w:t xml:space="preserve">, </w:t>
      </w:r>
      <w:proofErr w:type="spellStart"/>
      <w:r>
        <w:rPr>
          <w:sz w:val="24"/>
          <w:szCs w:val="24"/>
          <w:highlight w:val="white"/>
        </w:rPr>
        <w:t>Cattalini</w:t>
      </w:r>
      <w:proofErr w:type="spellEnd"/>
      <w:r>
        <w:rPr>
          <w:sz w:val="24"/>
          <w:szCs w:val="24"/>
          <w:highlight w:val="white"/>
        </w:rPr>
        <w:t xml:space="preserve">, </w:t>
      </w:r>
      <w:proofErr w:type="spellStart"/>
      <w:r>
        <w:rPr>
          <w:sz w:val="24"/>
          <w:szCs w:val="24"/>
          <w:highlight w:val="white"/>
        </w:rPr>
        <w:t>Tepar</w:t>
      </w:r>
      <w:proofErr w:type="spellEnd"/>
      <w:r>
        <w:rPr>
          <w:sz w:val="24"/>
          <w:szCs w:val="24"/>
          <w:highlight w:val="white"/>
        </w:rPr>
        <w:t xml:space="preserve">, União </w:t>
      </w:r>
      <w:proofErr w:type="spellStart"/>
      <w:r>
        <w:rPr>
          <w:sz w:val="24"/>
          <w:szCs w:val="24"/>
          <w:highlight w:val="white"/>
        </w:rPr>
        <w:t>Vopak</w:t>
      </w:r>
      <w:proofErr w:type="spellEnd"/>
      <w:r>
        <w:rPr>
          <w:sz w:val="24"/>
          <w:szCs w:val="24"/>
          <w:highlight w:val="white"/>
        </w:rPr>
        <w:t xml:space="preserve">, TCP e TPPF) possuem as suas licenças individuais, algumas outorgadas pelo órgão estadual (IAP) e outras pelo órgão federal. Nestes, todos os itens da legislação incidente sobre a atividade portuária </w:t>
      </w:r>
      <w:r>
        <w:rPr>
          <w:sz w:val="24"/>
          <w:szCs w:val="24"/>
          <w:highlight w:val="white"/>
        </w:rPr>
        <w:lastRenderedPageBreak/>
        <w:t>são cumpridos, mas os monitoramentos ambientais também são separados, sem uma integração que permita uma avaliação a partir da sobreposição dos impactos causados pelas atividades portuárias (SOARES, 2009).</w:t>
      </w:r>
    </w:p>
    <w:p w:rsidR="00F23EA2" w:rsidRDefault="00F23EA2" w:rsidP="00F23EA2">
      <w:pPr>
        <w:ind w:firstLine="700"/>
        <w:jc w:val="both"/>
      </w:pPr>
      <w:r>
        <w:rPr>
          <w:sz w:val="24"/>
          <w:szCs w:val="24"/>
          <w:highlight w:val="white"/>
        </w:rPr>
        <w:t xml:space="preserve">A Autoridade Portuária de Paranaguá (APPA), que é responsável pela operação do CMU e administra diversos terminais públicos (Álcool, Granéis Sólidos, etc.), e que ainda atua como um </w:t>
      </w:r>
      <w:r>
        <w:rPr>
          <w:i/>
          <w:sz w:val="24"/>
          <w:szCs w:val="24"/>
          <w:highlight w:val="white"/>
        </w:rPr>
        <w:t>operador portuário</w:t>
      </w:r>
      <w:r>
        <w:rPr>
          <w:sz w:val="24"/>
          <w:szCs w:val="24"/>
          <w:highlight w:val="white"/>
        </w:rPr>
        <w:t xml:space="preserve">, não possui qualquer licença ou monitoramento ambiental de suas atividades, exceto a de dragagem. As dragagens de manutenção ficaram ao encargo do IAP e as dragagens de aprofundamento ao encargo do IBAMA. Nos quesitos da legislação, analisado por SOARES (2009), no que se refere à região portuária de Paranaguá, observa-se que praticamente inexistem programas com relação à água de lastro dos navios, mesmo que a presença de organismos </w:t>
      </w:r>
      <w:proofErr w:type="spellStart"/>
      <w:r>
        <w:rPr>
          <w:sz w:val="24"/>
          <w:szCs w:val="24"/>
          <w:highlight w:val="white"/>
        </w:rPr>
        <w:t>bioinvasores</w:t>
      </w:r>
      <w:proofErr w:type="spellEnd"/>
      <w:r>
        <w:rPr>
          <w:sz w:val="24"/>
          <w:szCs w:val="24"/>
          <w:highlight w:val="white"/>
        </w:rPr>
        <w:t xml:space="preserve"> tenha sido detectada por </w:t>
      </w:r>
      <w:proofErr w:type="spellStart"/>
      <w:r>
        <w:rPr>
          <w:sz w:val="24"/>
          <w:szCs w:val="24"/>
          <w:highlight w:val="white"/>
        </w:rPr>
        <w:t>Procopiak</w:t>
      </w:r>
      <w:proofErr w:type="spellEnd"/>
      <w:r>
        <w:rPr>
          <w:sz w:val="24"/>
          <w:szCs w:val="24"/>
          <w:highlight w:val="white"/>
        </w:rPr>
        <w:t xml:space="preserve"> (2004; 2007) e Proença &amp; Fernandes (2004). Tal fato, considerando que os principais navios que frequentam a região são navios </w:t>
      </w:r>
      <w:proofErr w:type="spellStart"/>
      <w:r>
        <w:rPr>
          <w:sz w:val="24"/>
          <w:szCs w:val="24"/>
          <w:highlight w:val="white"/>
        </w:rPr>
        <w:t>graneleiros</w:t>
      </w:r>
      <w:proofErr w:type="spellEnd"/>
      <w:r>
        <w:rPr>
          <w:sz w:val="24"/>
          <w:szCs w:val="24"/>
          <w:highlight w:val="white"/>
        </w:rPr>
        <w:t xml:space="preserve"> de grande porte que navegam com os porões vazios e com grande quantidade de lastro, merecia um programa e um monitoramento eficaz.</w:t>
      </w:r>
    </w:p>
    <w:p w:rsidR="00D9173C" w:rsidRPr="00161E80" w:rsidRDefault="00161E80" w:rsidP="00161E80">
      <w:pPr>
        <w:pStyle w:val="Ttulo2"/>
        <w:tabs>
          <w:tab w:val="clear" w:pos="860"/>
          <w:tab w:val="num" w:pos="284"/>
        </w:tabs>
        <w:ind w:left="0" w:firstLine="0"/>
        <w:rPr>
          <w:b w:val="0"/>
        </w:rPr>
      </w:pPr>
      <w:r w:rsidRPr="00161E80">
        <w:rPr>
          <w:b w:val="0"/>
        </w:rPr>
        <w:t>ACIDENTES E RISCOS</w:t>
      </w:r>
    </w:p>
    <w:p w:rsidR="00161E80" w:rsidRDefault="00486151" w:rsidP="00161E80">
      <w:pPr>
        <w:pStyle w:val="Ttulo3"/>
        <w:numPr>
          <w:ilvl w:val="2"/>
          <w:numId w:val="3"/>
        </w:numPr>
        <w:rPr>
          <w:b w:val="0"/>
          <w:sz w:val="24"/>
        </w:rPr>
      </w:pPr>
      <w:r>
        <w:rPr>
          <w:b w:val="0"/>
          <w:sz w:val="24"/>
        </w:rPr>
        <w:t>R</w:t>
      </w:r>
      <w:r w:rsidRPr="00486151">
        <w:rPr>
          <w:b w:val="0"/>
          <w:sz w:val="24"/>
        </w:rPr>
        <w:t>isco ambiental e análise de risco voltada às atividades portuárias</w:t>
      </w:r>
    </w:p>
    <w:p w:rsidR="00F23EA2" w:rsidRDefault="00F23EA2" w:rsidP="00F23EA2">
      <w:pPr>
        <w:ind w:firstLine="700"/>
        <w:jc w:val="both"/>
      </w:pPr>
      <w:r>
        <w:rPr>
          <w:sz w:val="24"/>
          <w:szCs w:val="24"/>
          <w:highlight w:val="white"/>
        </w:rPr>
        <w:t xml:space="preserve">Os riscos ambientais podem ser compreendidos como condições que criam ou aumentam o potencial de danos e perdas, portanto é medido pela possibilidade de um evento vir a acontecer e produzir perdas. Existem três tipos de riscos ligados à atividade portuária: </w:t>
      </w:r>
      <w:r>
        <w:rPr>
          <w:b/>
          <w:sz w:val="24"/>
          <w:szCs w:val="24"/>
          <w:highlight w:val="white"/>
        </w:rPr>
        <w:t>riscos de navegação</w:t>
      </w:r>
      <w:r>
        <w:rPr>
          <w:sz w:val="24"/>
          <w:szCs w:val="24"/>
          <w:highlight w:val="white"/>
        </w:rPr>
        <w:t xml:space="preserve"> (relacionados com canais de acesso e áreas de manobra); </w:t>
      </w:r>
      <w:r>
        <w:rPr>
          <w:b/>
          <w:sz w:val="24"/>
          <w:szCs w:val="24"/>
          <w:highlight w:val="white"/>
        </w:rPr>
        <w:t>riscos de operação portuária</w:t>
      </w:r>
      <w:r>
        <w:rPr>
          <w:sz w:val="24"/>
          <w:szCs w:val="24"/>
          <w:highlight w:val="white"/>
        </w:rPr>
        <w:t xml:space="preserve"> (transbordo de carga) e </w:t>
      </w:r>
      <w:r>
        <w:rPr>
          <w:b/>
          <w:sz w:val="24"/>
          <w:szCs w:val="24"/>
          <w:highlight w:val="white"/>
        </w:rPr>
        <w:t>riscos com acessos terrestres aos portos</w:t>
      </w:r>
      <w:r>
        <w:rPr>
          <w:sz w:val="24"/>
          <w:szCs w:val="24"/>
          <w:highlight w:val="white"/>
        </w:rPr>
        <w:t xml:space="preserve"> (SOARES, 2016).</w:t>
      </w:r>
    </w:p>
    <w:p w:rsidR="00F23EA2" w:rsidRDefault="00F23EA2" w:rsidP="00F23EA2">
      <w:pPr>
        <w:ind w:firstLine="700"/>
        <w:jc w:val="both"/>
      </w:pPr>
      <w:r>
        <w:rPr>
          <w:sz w:val="24"/>
          <w:szCs w:val="24"/>
          <w:highlight w:val="white"/>
        </w:rPr>
        <w:t xml:space="preserve">Os riscos relacionados à navegação podem possuir diferentes causas. Podem ser eles os riscos naturais relativos às características físicas da região, como a ocorrência de eventos meteorológicos extremos, a presença da cunha salina estuarina e suas relações com a lama fluida no fundo, o assoreamento dos setores do canal e a presença de pedras submersas; podem ser os riscos relativos às estruturas ou obras de engenharia implantadas na área de acesso aos portos, como o canal sendo interceptado em certos pontos por obras de engenharia civil </w:t>
      </w:r>
      <w:r>
        <w:rPr>
          <w:sz w:val="24"/>
          <w:szCs w:val="24"/>
          <w:highlight w:val="white"/>
        </w:rPr>
        <w:lastRenderedPageBreak/>
        <w:t xml:space="preserve">submersas, o rompimento ou desenterramento do cabo de transmissão de energia submerso (devido a processos naturais), o </w:t>
      </w:r>
      <w:proofErr w:type="gramStart"/>
      <w:r>
        <w:rPr>
          <w:sz w:val="24"/>
          <w:szCs w:val="24"/>
          <w:highlight w:val="white"/>
        </w:rPr>
        <w:t>fundeio</w:t>
      </w:r>
      <w:proofErr w:type="gramEnd"/>
      <w:r>
        <w:rPr>
          <w:sz w:val="24"/>
          <w:szCs w:val="24"/>
          <w:highlight w:val="white"/>
        </w:rPr>
        <w:t xml:space="preserve"> de navios, dragagens e o oleoduto OLAPA, que liga o terminal do DTSUL-Paranaguá à Refinaria Getúlio Vargas em Araucária; as falhas humanas nas manobras marítimas também estão relacionadas. Elas são imprevisíveis e podem ocorrer principalmente junto aos berços dos cais ou durante a entrada ou saída de navios através dos canais de acesso, podendo ocasionar no deslocamento de navios através das fortes correntes de maré e em falhas mecânicas na iluminação das </w:t>
      </w:r>
      <w:proofErr w:type="spellStart"/>
      <w:r>
        <w:rPr>
          <w:sz w:val="24"/>
          <w:szCs w:val="24"/>
          <w:highlight w:val="white"/>
        </w:rPr>
        <w:t>bóias</w:t>
      </w:r>
      <w:proofErr w:type="spellEnd"/>
      <w:r>
        <w:rPr>
          <w:sz w:val="24"/>
          <w:szCs w:val="24"/>
          <w:highlight w:val="white"/>
        </w:rPr>
        <w:t xml:space="preserve"> de sinalização; podem ser os riscos relacionados às falhas mecânicas dos navios/embarcações, que também são imprevisíveis e podem resultar no encalhe de navios nas áreas laterais dos setores do canal, ou em avarias no casco, decorrentes do perigo no caso dos maciços rochosos submersos; e podem ser os riscos relacionados às atividades de pesca, recreio e turismo, onde existe uma intensa atividade relacionada à pesca artesanal das comunidades situadas às margens da baía, à pesca esportiva e esportes náuticos (principalmente veleiros e jet-skis) e à existência de linhas regulares de transporte de passageiros (entre Paranaguá e comunidades situadas às margens da baía) e de turismo (Pontal do Paraná para a ilha do Mel), que nas suas rotas cruzam os distintos setores do canal de acesso aos portos (SOARES, 2016).</w:t>
      </w:r>
    </w:p>
    <w:p w:rsidR="00F23EA2" w:rsidRDefault="00F23EA2" w:rsidP="00F23EA2">
      <w:pPr>
        <w:ind w:firstLine="700"/>
        <w:jc w:val="both"/>
      </w:pPr>
      <w:r>
        <w:rPr>
          <w:sz w:val="24"/>
          <w:szCs w:val="24"/>
          <w:highlight w:val="white"/>
        </w:rPr>
        <w:t xml:space="preserve">Os riscos relacionados à operação portuária estão relacionados basicamente às estruturas físicas do porto e </w:t>
      </w:r>
      <w:proofErr w:type="spellStart"/>
      <w:r>
        <w:rPr>
          <w:sz w:val="24"/>
          <w:szCs w:val="24"/>
          <w:highlight w:val="white"/>
        </w:rPr>
        <w:t>retroporto</w:t>
      </w:r>
      <w:proofErr w:type="spellEnd"/>
      <w:r>
        <w:rPr>
          <w:sz w:val="24"/>
          <w:szCs w:val="24"/>
          <w:highlight w:val="white"/>
        </w:rPr>
        <w:t>, ao trabalho portuário em si (manuseio de cargas e equipamentos), a passivos ambientais e também a eventos meteorológicos extremos (SOARES, 2016).</w:t>
      </w:r>
    </w:p>
    <w:p w:rsidR="00F23EA2" w:rsidRDefault="00F23EA2" w:rsidP="00F23EA2">
      <w:pPr>
        <w:ind w:firstLine="700"/>
        <w:jc w:val="both"/>
      </w:pPr>
      <w:r>
        <w:rPr>
          <w:sz w:val="24"/>
          <w:szCs w:val="24"/>
          <w:highlight w:val="white"/>
        </w:rPr>
        <w:t>No que se refere aos riscos com acessos terrestres ao porto, embora não relacionados diretamente à Autoridade Portuária e operação dos portos, acidentes tanto em rodovias e ferrovias com cargas com destino ou provindas dos portos são bastante comuns (SOARES, 2016).</w:t>
      </w:r>
    </w:p>
    <w:p w:rsidR="00CD615C" w:rsidRDefault="00CD615C" w:rsidP="00CD615C">
      <w:pPr>
        <w:keepNext/>
      </w:pPr>
      <w:r>
        <w:rPr>
          <w:noProof/>
          <w:sz w:val="24"/>
          <w:szCs w:val="24"/>
        </w:rPr>
        <w:lastRenderedPageBreak/>
        <w:drawing>
          <wp:inline distT="0" distB="0" distL="0" distR="0" wp14:anchorId="22EFF96B" wp14:editId="6B405310">
            <wp:extent cx="4000500" cy="2998809"/>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00500" cy="2998809"/>
                    </a:xfrm>
                    <a:prstGeom prst="rect">
                      <a:avLst/>
                    </a:prstGeom>
                    <a:noFill/>
                    <a:ln>
                      <a:noFill/>
                    </a:ln>
                  </pic:spPr>
                </pic:pic>
              </a:graphicData>
            </a:graphic>
          </wp:inline>
        </w:drawing>
      </w:r>
    </w:p>
    <w:p w:rsidR="008277FD" w:rsidRDefault="00CD615C" w:rsidP="00CD615C">
      <w:pPr>
        <w:pStyle w:val="Legenda"/>
      </w:pPr>
      <w:r>
        <w:t xml:space="preserve">Figura </w:t>
      </w:r>
      <w:r w:rsidR="00702BA8">
        <w:fldChar w:fldCharType="begin"/>
      </w:r>
      <w:r w:rsidR="00702BA8">
        <w:instrText xml:space="preserve"> SEQ Figura \* ARABIC </w:instrText>
      </w:r>
      <w:r w:rsidR="00702BA8">
        <w:fldChar w:fldCharType="separate"/>
      </w:r>
      <w:r>
        <w:rPr>
          <w:noProof/>
        </w:rPr>
        <w:t>9</w:t>
      </w:r>
      <w:r w:rsidR="00702BA8">
        <w:rPr>
          <w:noProof/>
        </w:rPr>
        <w:fldChar w:fldCharType="end"/>
      </w:r>
      <w:r>
        <w:t xml:space="preserve"> - N</w:t>
      </w:r>
      <w:r w:rsidRPr="00CD615C">
        <w:t>avio petroleiro Norma</w:t>
      </w:r>
      <w:r>
        <w:t xml:space="preserve"> em outubro de 2001</w:t>
      </w:r>
      <w:r w:rsidRPr="00CD615C">
        <w:t xml:space="preserve">, pertencente à frota </w:t>
      </w:r>
      <w:r>
        <w:t xml:space="preserve">da </w:t>
      </w:r>
      <w:proofErr w:type="spellStart"/>
      <w:r w:rsidRPr="00CD615C">
        <w:t>Transpetro</w:t>
      </w:r>
      <w:proofErr w:type="spellEnd"/>
      <w:r w:rsidRPr="00CD615C">
        <w:t xml:space="preserve"> (subsidiaria da Petrobras), que transportava nafta, e chocou-se com</w:t>
      </w:r>
      <w:r>
        <w:t xml:space="preserve"> </w:t>
      </w:r>
      <w:r w:rsidRPr="00CD615C">
        <w:t>uma rocha na baia de Paranagu</w:t>
      </w:r>
      <w:r w:rsidR="00B326F9">
        <w:t>á</w:t>
      </w:r>
      <w:r w:rsidRPr="00CD615C">
        <w:t>, provocando o vazamento de 392 mil litros</w:t>
      </w:r>
      <w:r>
        <w:t xml:space="preserve"> </w:t>
      </w:r>
      <w:r w:rsidRPr="00CD615C">
        <w:t xml:space="preserve">desse produto, afetando uma </w:t>
      </w:r>
      <w:r w:rsidR="00B326F9">
        <w:t>á</w:t>
      </w:r>
      <w:r w:rsidRPr="00CD615C">
        <w:t>rea de 3.000m²</w:t>
      </w:r>
      <w:r>
        <w:t xml:space="preserve"> e ocasionando a </w:t>
      </w:r>
      <w:r w:rsidRPr="00CD615C">
        <w:t>morte de um mergulhador logo após o acidente, quando este fazia a primeira inspeção no local.</w:t>
      </w:r>
    </w:p>
    <w:p w:rsidR="00CD615C" w:rsidRDefault="00CD615C" w:rsidP="00CD615C">
      <w:r>
        <w:t>Fonte: APPA, 2011</w:t>
      </w:r>
    </w:p>
    <w:p w:rsidR="00CD615C" w:rsidRDefault="00CD615C" w:rsidP="00CD615C">
      <w:pPr>
        <w:keepNext/>
      </w:pPr>
      <w:r>
        <w:rPr>
          <w:noProof/>
        </w:rPr>
        <w:drawing>
          <wp:inline distT="0" distB="0" distL="0" distR="0" wp14:anchorId="24B3B312" wp14:editId="1CE9781B">
            <wp:extent cx="3800475" cy="2847975"/>
            <wp:effectExtent l="0" t="0" r="9525" b="952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00475" cy="2847975"/>
                    </a:xfrm>
                    <a:prstGeom prst="rect">
                      <a:avLst/>
                    </a:prstGeom>
                    <a:noFill/>
                    <a:ln>
                      <a:noFill/>
                    </a:ln>
                  </pic:spPr>
                </pic:pic>
              </a:graphicData>
            </a:graphic>
          </wp:inline>
        </w:drawing>
      </w:r>
    </w:p>
    <w:p w:rsidR="00CD615C" w:rsidRDefault="00CD615C" w:rsidP="00444CCF">
      <w:pPr>
        <w:pStyle w:val="Legenda"/>
      </w:pPr>
      <w:r>
        <w:t xml:space="preserve">Figura </w:t>
      </w:r>
      <w:r w:rsidR="00702BA8">
        <w:fldChar w:fldCharType="begin"/>
      </w:r>
      <w:r w:rsidR="00702BA8">
        <w:instrText xml:space="preserve"> SEQ Figura \* ARABIC </w:instrText>
      </w:r>
      <w:r w:rsidR="00702BA8">
        <w:fldChar w:fldCharType="separate"/>
      </w:r>
      <w:r>
        <w:rPr>
          <w:noProof/>
        </w:rPr>
        <w:t>10</w:t>
      </w:r>
      <w:r w:rsidR="00702BA8">
        <w:rPr>
          <w:noProof/>
        </w:rPr>
        <w:fldChar w:fldCharType="end"/>
      </w:r>
      <w:r>
        <w:t xml:space="preserve"> - </w:t>
      </w:r>
      <w:r w:rsidR="00444CCF">
        <w:t>N</w:t>
      </w:r>
      <w:r w:rsidR="00444CCF" w:rsidRPr="00444CCF">
        <w:t xml:space="preserve">avio </w:t>
      </w:r>
      <w:proofErr w:type="spellStart"/>
      <w:r w:rsidR="00444CCF" w:rsidRPr="00444CCF">
        <w:t>Vicuna</w:t>
      </w:r>
      <w:proofErr w:type="spellEnd"/>
      <w:r w:rsidR="00444CCF">
        <w:t xml:space="preserve"> em novembro de 2004</w:t>
      </w:r>
      <w:r w:rsidR="00444CCF" w:rsidRPr="00444CCF">
        <w:t>, qu</w:t>
      </w:r>
      <w:r w:rsidR="00444CCF">
        <w:t>e</w:t>
      </w:r>
      <w:r w:rsidR="00444CCF" w:rsidRPr="00444CCF">
        <w:t xml:space="preserve"> explodiu</w:t>
      </w:r>
      <w:r w:rsidR="00444CCF">
        <w:t xml:space="preserve"> </w:t>
      </w:r>
      <w:r w:rsidR="00444CCF" w:rsidRPr="00444CCF">
        <w:t>com 11 mil toneladas de</w:t>
      </w:r>
      <w:r w:rsidR="00444CCF">
        <w:t xml:space="preserve"> </w:t>
      </w:r>
      <w:r w:rsidR="00444CCF" w:rsidRPr="00444CCF">
        <w:t xml:space="preserve">metanol enquanto estava atracado no terminal da empresa </w:t>
      </w:r>
      <w:proofErr w:type="spellStart"/>
      <w:r w:rsidR="00444CCF" w:rsidRPr="00444CCF">
        <w:t>Catallini</w:t>
      </w:r>
      <w:proofErr w:type="spellEnd"/>
      <w:r w:rsidR="00444CCF">
        <w:t xml:space="preserve"> </w:t>
      </w:r>
      <w:r w:rsidR="00444CCF" w:rsidRPr="00444CCF">
        <w:t>(</w:t>
      </w:r>
      <w:proofErr w:type="spellStart"/>
      <w:r w:rsidR="00444CCF" w:rsidRPr="00444CCF">
        <w:t>Pier</w:t>
      </w:r>
      <w:proofErr w:type="spellEnd"/>
      <w:r w:rsidR="00444CCF" w:rsidRPr="00444CCF">
        <w:t xml:space="preserve"> de g</w:t>
      </w:r>
      <w:r w:rsidR="00444CCF">
        <w:t xml:space="preserve">raneis </w:t>
      </w:r>
      <w:proofErr w:type="spellStart"/>
      <w:r w:rsidR="00444CCF">
        <w:t>liquidos</w:t>
      </w:r>
      <w:proofErr w:type="spellEnd"/>
      <w:r w:rsidR="00444CCF">
        <w:t xml:space="preserve"> e </w:t>
      </w:r>
      <w:proofErr w:type="spellStart"/>
      <w:r w:rsidR="00444CCF">
        <w:t>inflamaveis</w:t>
      </w:r>
      <w:proofErr w:type="spellEnd"/>
      <w:r w:rsidR="00444CCF">
        <w:t xml:space="preserve">). </w:t>
      </w:r>
      <w:r w:rsidR="00444CCF" w:rsidRPr="00444CCF">
        <w:t>Acredita-se que entre 3 a 4 milh</w:t>
      </w:r>
      <w:r w:rsidR="00B326F9">
        <w:t>õ</w:t>
      </w:r>
      <w:r w:rsidR="00444CCF" w:rsidRPr="00444CCF">
        <w:t xml:space="preserve">es de litros de </w:t>
      </w:r>
      <w:r w:rsidR="00444CCF">
        <w:t xml:space="preserve">três </w:t>
      </w:r>
      <w:r w:rsidR="00444CCF" w:rsidRPr="00444CCF">
        <w:t xml:space="preserve">tipos de </w:t>
      </w:r>
      <w:proofErr w:type="spellStart"/>
      <w:r w:rsidR="00444CCF" w:rsidRPr="00444CCF">
        <w:t>combustiveis</w:t>
      </w:r>
      <w:proofErr w:type="spellEnd"/>
      <w:r w:rsidR="00444CCF" w:rsidRPr="00444CCF">
        <w:t xml:space="preserve"> tenham vazado e atingido uma </w:t>
      </w:r>
      <w:r w:rsidR="00B326F9">
        <w:t>á</w:t>
      </w:r>
      <w:r w:rsidR="00444CCF" w:rsidRPr="00444CCF">
        <w:t xml:space="preserve">rea de 30 km de </w:t>
      </w:r>
      <w:proofErr w:type="spellStart"/>
      <w:r w:rsidR="00444CCF" w:rsidRPr="00444CCF">
        <w:t>extensao</w:t>
      </w:r>
      <w:proofErr w:type="spellEnd"/>
      <w:r w:rsidR="00444CCF" w:rsidRPr="00444CCF">
        <w:t>.</w:t>
      </w:r>
      <w:r w:rsidR="00444CCF">
        <w:t xml:space="preserve"> A</w:t>
      </w:r>
      <w:r w:rsidR="00444CCF" w:rsidRPr="00444CCF">
        <w:t xml:space="preserve"> pesca foi proibida e o governo estadual repassou aproximadamente</w:t>
      </w:r>
      <w:r w:rsidR="00444CCF">
        <w:t xml:space="preserve"> </w:t>
      </w:r>
      <w:r w:rsidR="00444CCF" w:rsidRPr="00444CCF">
        <w:t xml:space="preserve">R$ 1,7 </w:t>
      </w:r>
      <w:proofErr w:type="spellStart"/>
      <w:r w:rsidR="00444CCF" w:rsidRPr="00444CCF">
        <w:t>milhao</w:t>
      </w:r>
      <w:proofErr w:type="spellEnd"/>
      <w:r w:rsidR="00444CCF" w:rsidRPr="00444CCF">
        <w:t xml:space="preserve"> às </w:t>
      </w:r>
      <w:proofErr w:type="spellStart"/>
      <w:r w:rsidR="00444CCF" w:rsidRPr="00444CCF">
        <w:t>familias</w:t>
      </w:r>
      <w:proofErr w:type="spellEnd"/>
      <w:r w:rsidR="00444CCF" w:rsidRPr="00444CCF">
        <w:t xml:space="preserve"> dos pescadores</w:t>
      </w:r>
      <w:r w:rsidR="00444CCF">
        <w:t>.</w:t>
      </w:r>
    </w:p>
    <w:p w:rsidR="00444CCF" w:rsidRDefault="00444CCF" w:rsidP="00444CCF">
      <w:r>
        <w:t>Fonte: APPA, 2011</w:t>
      </w:r>
    </w:p>
    <w:p w:rsidR="00444CCF" w:rsidRDefault="00444CCF" w:rsidP="00444CCF">
      <w:pPr>
        <w:jc w:val="both"/>
        <w:rPr>
          <w:sz w:val="24"/>
        </w:rPr>
      </w:pPr>
    </w:p>
    <w:p w:rsidR="00F23EA2" w:rsidRDefault="00F23EA2" w:rsidP="00F23EA2">
      <w:pPr>
        <w:ind w:firstLine="700"/>
        <w:jc w:val="both"/>
      </w:pPr>
      <w:r>
        <w:rPr>
          <w:sz w:val="24"/>
          <w:szCs w:val="24"/>
          <w:highlight w:val="white"/>
        </w:rPr>
        <w:lastRenderedPageBreak/>
        <w:t>Em decorrência desses acidentes, a Autoridade Portuária (APPA), acompanhada da Autoridade Marítima (Capitania dos Portos do Paraná) e principalmente pelos órgãos ambientais, revisaram seus planos e procedimentos preventivos e de atendimento em situações de emergência. Recentemente a APPA promoveu a revisão e/ou elaboração de seu Plano de Emergência Individual (PEI), Estudo de Análise de Riscos (EAR), Plano de Gerenciamento de Riscos (PGR) e Manual de Procedimentos Internos. Tais procedimentos decorreram principalmente de um Termo de Compromisso firmado entre a APPA e IBAMA (APPA, 2011).</w:t>
      </w:r>
    </w:p>
    <w:p w:rsidR="00F23EA2" w:rsidRDefault="00F23EA2" w:rsidP="00F23EA2">
      <w:pPr>
        <w:ind w:firstLine="700"/>
        <w:jc w:val="both"/>
      </w:pPr>
      <w:r>
        <w:rPr>
          <w:sz w:val="24"/>
          <w:szCs w:val="24"/>
          <w:highlight w:val="white"/>
        </w:rPr>
        <w:t>O Plano de Emergência Individual – PEI se destaca ao que contempla os cenários acidentais com navios e/ou embarcações de apoio à atividade portuária, decorrendo em vazamento de óleos. O PEI descreve uma série de procedimentos a serem adotados pela equipe de resposta, desde procedimentos de comunicação inicial de autoridades competentes até procedimentos de proteção de áreas vulneráveis, como costões rochosos, praias arenosas, marismas e manguezais (APPA, 2011).</w:t>
      </w:r>
    </w:p>
    <w:p w:rsidR="00FF7E06" w:rsidRDefault="00FF7E06" w:rsidP="00933185">
      <w:pPr>
        <w:ind w:firstLine="709"/>
        <w:jc w:val="both"/>
        <w:rPr>
          <w:sz w:val="24"/>
        </w:rPr>
      </w:pPr>
    </w:p>
    <w:p w:rsidR="00FF7E06" w:rsidRDefault="00FF7E06" w:rsidP="00933185">
      <w:pPr>
        <w:ind w:firstLine="709"/>
        <w:jc w:val="both"/>
        <w:rPr>
          <w:sz w:val="24"/>
        </w:rPr>
      </w:pPr>
    </w:p>
    <w:p w:rsidR="00FF7E06" w:rsidRDefault="00FF7E06" w:rsidP="00933185">
      <w:pPr>
        <w:ind w:firstLine="709"/>
        <w:jc w:val="both"/>
        <w:rPr>
          <w:sz w:val="24"/>
        </w:rPr>
      </w:pPr>
    </w:p>
    <w:p w:rsidR="00FF7E06" w:rsidRDefault="00FF7E06" w:rsidP="00933185">
      <w:pPr>
        <w:ind w:firstLine="709"/>
        <w:jc w:val="both"/>
        <w:rPr>
          <w:sz w:val="24"/>
        </w:rPr>
      </w:pPr>
    </w:p>
    <w:p w:rsidR="00FF7E06" w:rsidRDefault="00FF7E06" w:rsidP="00933185">
      <w:pPr>
        <w:ind w:firstLine="709"/>
        <w:jc w:val="both"/>
        <w:rPr>
          <w:sz w:val="24"/>
        </w:rPr>
      </w:pPr>
    </w:p>
    <w:p w:rsidR="00FF7E06" w:rsidRDefault="00FF7E06" w:rsidP="00933185">
      <w:pPr>
        <w:ind w:firstLine="709"/>
        <w:jc w:val="both"/>
        <w:rPr>
          <w:sz w:val="24"/>
        </w:rPr>
      </w:pPr>
    </w:p>
    <w:p w:rsidR="00FF7E06" w:rsidRDefault="00FF7E06" w:rsidP="00933185">
      <w:pPr>
        <w:ind w:firstLine="709"/>
        <w:jc w:val="both"/>
        <w:rPr>
          <w:sz w:val="24"/>
        </w:rPr>
      </w:pPr>
    </w:p>
    <w:p w:rsidR="00FF7E06" w:rsidRDefault="00FF7E06" w:rsidP="00933185">
      <w:pPr>
        <w:ind w:firstLine="709"/>
        <w:jc w:val="both"/>
        <w:rPr>
          <w:sz w:val="24"/>
        </w:rPr>
      </w:pPr>
    </w:p>
    <w:p w:rsidR="00FF7E06" w:rsidRDefault="00FF7E06" w:rsidP="00933185">
      <w:pPr>
        <w:ind w:firstLine="709"/>
        <w:jc w:val="both"/>
        <w:rPr>
          <w:sz w:val="24"/>
        </w:rPr>
      </w:pPr>
    </w:p>
    <w:p w:rsidR="00FF7E06" w:rsidRDefault="00FF7E06" w:rsidP="00933185">
      <w:pPr>
        <w:ind w:firstLine="709"/>
        <w:jc w:val="both"/>
        <w:rPr>
          <w:sz w:val="24"/>
        </w:rPr>
      </w:pPr>
    </w:p>
    <w:p w:rsidR="00FF7E06" w:rsidRDefault="00FF7E06" w:rsidP="00933185">
      <w:pPr>
        <w:ind w:firstLine="709"/>
        <w:jc w:val="both"/>
        <w:rPr>
          <w:sz w:val="24"/>
        </w:rPr>
      </w:pPr>
    </w:p>
    <w:p w:rsidR="00933185" w:rsidRDefault="00933185" w:rsidP="00FF7E06">
      <w:pPr>
        <w:pStyle w:val="Ttulo2"/>
        <w:tabs>
          <w:tab w:val="clear" w:pos="860"/>
          <w:tab w:val="num" w:pos="0"/>
        </w:tabs>
        <w:ind w:left="0" w:firstLine="0"/>
        <w:rPr>
          <w:b w:val="0"/>
        </w:rPr>
      </w:pPr>
      <w:r w:rsidRPr="00933185">
        <w:rPr>
          <w:b w:val="0"/>
        </w:rPr>
        <w:lastRenderedPageBreak/>
        <w:t>FUTURAS EXPANSÕES E OUTROS EMPREENDIMENTOS</w:t>
      </w:r>
    </w:p>
    <w:p w:rsidR="00FF7E06" w:rsidRDefault="00FF7E06" w:rsidP="00FF7E06">
      <w:pPr>
        <w:pStyle w:val="Ttulo3"/>
        <w:numPr>
          <w:ilvl w:val="2"/>
          <w:numId w:val="3"/>
        </w:numPr>
        <w:rPr>
          <w:b w:val="0"/>
          <w:sz w:val="24"/>
        </w:rPr>
      </w:pPr>
      <w:r>
        <w:rPr>
          <w:b w:val="0"/>
          <w:sz w:val="24"/>
        </w:rPr>
        <w:t>Descrição da d</w:t>
      </w:r>
      <w:r w:rsidRPr="00FF7E06">
        <w:rPr>
          <w:b w:val="0"/>
          <w:sz w:val="24"/>
        </w:rPr>
        <w:t>emanda por expansão dos portos de Paranaguá e Antonina e aquelas que já estão previstas</w:t>
      </w:r>
    </w:p>
    <w:p w:rsidR="00FF7E06" w:rsidRDefault="00FF7E06" w:rsidP="00FF7E06">
      <w:pPr>
        <w:ind w:firstLine="709"/>
        <w:jc w:val="both"/>
        <w:rPr>
          <w:sz w:val="24"/>
        </w:rPr>
      </w:pPr>
      <w:r w:rsidRPr="00FF7E06">
        <w:rPr>
          <w:sz w:val="24"/>
        </w:rPr>
        <w:t>A tabela I apresenta informações de licenciamento ambiental federal das demandas por expansão dos empreendimentos de Paranaguá, Antonina e Pontal do Paraná. Em seguida serão descritas as características de cada obra.</w:t>
      </w:r>
    </w:p>
    <w:p w:rsidR="00FF7E06" w:rsidRDefault="00FF7E06" w:rsidP="00FF7E06">
      <w:pPr>
        <w:ind w:firstLine="709"/>
        <w:jc w:val="both"/>
        <w:rPr>
          <w:sz w:val="24"/>
        </w:rPr>
      </w:pPr>
    </w:p>
    <w:p w:rsidR="00FF7E06" w:rsidRDefault="00FF7E06" w:rsidP="00FF7E06">
      <w:pPr>
        <w:pStyle w:val="Legenda"/>
      </w:pPr>
      <w:r>
        <w:t xml:space="preserve">Tabela </w:t>
      </w:r>
      <w:r w:rsidR="00702BA8">
        <w:fldChar w:fldCharType="begin"/>
      </w:r>
      <w:r w:rsidR="00702BA8">
        <w:instrText xml:space="preserve"> SEQ Tabela \* ARABIC </w:instrText>
      </w:r>
      <w:r w:rsidR="00702BA8">
        <w:fldChar w:fldCharType="separate"/>
      </w:r>
      <w:r>
        <w:rPr>
          <w:noProof/>
        </w:rPr>
        <w:t>2</w:t>
      </w:r>
      <w:r w:rsidR="00702BA8">
        <w:rPr>
          <w:noProof/>
        </w:rPr>
        <w:fldChar w:fldCharType="end"/>
      </w:r>
      <w:r>
        <w:t xml:space="preserve"> - </w:t>
      </w:r>
      <w:r w:rsidRPr="00132434">
        <w:rPr>
          <w:rFonts w:cstheme="minorHAnsi"/>
        </w:rPr>
        <w:t>Sistema Informatizado de Licenciamento Ambiental Federal</w:t>
      </w:r>
    </w:p>
    <w:p w:rsidR="00FF7E06" w:rsidRDefault="00FF7E06" w:rsidP="00FF7E06">
      <w:pPr>
        <w:rPr>
          <w:sz w:val="24"/>
        </w:rPr>
      </w:pPr>
      <w:r>
        <w:rPr>
          <w:noProof/>
        </w:rPr>
        <w:drawing>
          <wp:inline distT="0" distB="0" distL="0" distR="0" wp14:anchorId="2D47EA31" wp14:editId="283417B5">
            <wp:extent cx="5362575" cy="3533775"/>
            <wp:effectExtent l="0" t="0" r="9525" b="9525"/>
            <wp:docPr id="7" name="Imagem 7"/>
            <wp:cNvGraphicFramePr/>
            <a:graphic xmlns:a="http://schemas.openxmlformats.org/drawingml/2006/main">
              <a:graphicData uri="http://schemas.openxmlformats.org/drawingml/2006/picture">
                <pic:pic xmlns:pic="http://schemas.openxmlformats.org/drawingml/2006/picture">
                  <pic:nvPicPr>
                    <pic:cNvPr id="2" name="Imagem 2"/>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62575" cy="3533775"/>
                    </a:xfrm>
                    <a:prstGeom prst="rect">
                      <a:avLst/>
                    </a:prstGeom>
                    <a:noFill/>
                    <a:ln>
                      <a:noFill/>
                    </a:ln>
                  </pic:spPr>
                </pic:pic>
              </a:graphicData>
            </a:graphic>
          </wp:inline>
        </w:drawing>
      </w:r>
    </w:p>
    <w:p w:rsidR="00F23EA2" w:rsidRDefault="00F23EA2" w:rsidP="00F23EA2">
      <w:pPr>
        <w:jc w:val="both"/>
      </w:pPr>
      <w:r>
        <w:rPr>
          <w:b/>
          <w:sz w:val="24"/>
          <w:szCs w:val="24"/>
          <w:highlight w:val="white"/>
        </w:rPr>
        <w:t xml:space="preserve">- Porto de Paranaguá (derrocamento): </w:t>
      </w:r>
      <w:r>
        <w:rPr>
          <w:sz w:val="24"/>
          <w:szCs w:val="24"/>
          <w:highlight w:val="white"/>
        </w:rPr>
        <w:t xml:space="preserve">atividade de </w:t>
      </w:r>
      <w:proofErr w:type="spellStart"/>
      <w:r>
        <w:rPr>
          <w:sz w:val="24"/>
          <w:szCs w:val="24"/>
          <w:highlight w:val="white"/>
        </w:rPr>
        <w:t>derrocagem</w:t>
      </w:r>
      <w:proofErr w:type="spellEnd"/>
      <w:r>
        <w:rPr>
          <w:sz w:val="24"/>
          <w:szCs w:val="24"/>
          <w:highlight w:val="white"/>
        </w:rPr>
        <w:t xml:space="preserve"> dos maciços rochosos denominados Pedra da Palangana nos setores Alpha, Bravo, Charlie, Delta e </w:t>
      </w:r>
      <w:proofErr w:type="spellStart"/>
      <w:r>
        <w:rPr>
          <w:sz w:val="24"/>
          <w:szCs w:val="24"/>
          <w:highlight w:val="white"/>
        </w:rPr>
        <w:t>Echo</w:t>
      </w:r>
      <w:proofErr w:type="spellEnd"/>
      <w:r>
        <w:rPr>
          <w:sz w:val="24"/>
          <w:szCs w:val="24"/>
          <w:highlight w:val="white"/>
        </w:rPr>
        <w:t xml:space="preserve"> (Rochas A, B, C, D e </w:t>
      </w:r>
      <w:proofErr w:type="spellStart"/>
      <w:r>
        <w:rPr>
          <w:sz w:val="24"/>
          <w:szCs w:val="24"/>
          <w:highlight w:val="white"/>
        </w:rPr>
        <w:t>E</w:t>
      </w:r>
      <w:proofErr w:type="spellEnd"/>
      <w:r>
        <w:rPr>
          <w:sz w:val="24"/>
          <w:szCs w:val="24"/>
          <w:highlight w:val="white"/>
        </w:rPr>
        <w:t xml:space="preserve">) e Pedra do Bengo. As rochas acima descritas encontram-se dentro da área navegável de projeto e deverão ser derrocadas até a cota -15,00 metros. O volume a ser derrocado será de 9.112,12 m³. A área de despejo do material derrocado se localizará no setor leste do Porto de Paranaguá a 1,04 milhas da área de </w:t>
      </w:r>
      <w:proofErr w:type="spellStart"/>
      <w:r>
        <w:rPr>
          <w:sz w:val="24"/>
          <w:szCs w:val="24"/>
          <w:highlight w:val="white"/>
        </w:rPr>
        <w:t>derrocagem</w:t>
      </w:r>
      <w:proofErr w:type="spellEnd"/>
      <w:r>
        <w:rPr>
          <w:sz w:val="24"/>
          <w:szCs w:val="24"/>
          <w:highlight w:val="white"/>
        </w:rPr>
        <w:t xml:space="preserve"> (IBAMA, 2016).</w:t>
      </w:r>
    </w:p>
    <w:p w:rsidR="00F23EA2" w:rsidRDefault="00F23EA2" w:rsidP="00F23EA2">
      <w:pPr>
        <w:jc w:val="both"/>
      </w:pPr>
      <w:r>
        <w:rPr>
          <w:b/>
          <w:sz w:val="24"/>
          <w:szCs w:val="24"/>
          <w:highlight w:val="white"/>
        </w:rPr>
        <w:t xml:space="preserve">- Porto Organizado de Antonina: </w:t>
      </w:r>
      <w:r>
        <w:rPr>
          <w:sz w:val="24"/>
          <w:szCs w:val="24"/>
          <w:highlight w:val="white"/>
        </w:rPr>
        <w:t xml:space="preserve">as atividades consistem na reforma e ampliação dos cais atuais, ampliação da malha ferroviária e rodoviária, </w:t>
      </w:r>
      <w:proofErr w:type="spellStart"/>
      <w:r>
        <w:rPr>
          <w:sz w:val="24"/>
          <w:szCs w:val="24"/>
          <w:highlight w:val="white"/>
        </w:rPr>
        <w:t>estaleiragem</w:t>
      </w:r>
      <w:proofErr w:type="spellEnd"/>
      <w:r>
        <w:rPr>
          <w:sz w:val="24"/>
          <w:szCs w:val="24"/>
          <w:highlight w:val="white"/>
        </w:rPr>
        <w:t xml:space="preserve"> e conserto das embarcações, construção de pátio para armazenagem de veículos, implantação </w:t>
      </w:r>
      <w:r>
        <w:rPr>
          <w:sz w:val="24"/>
          <w:szCs w:val="24"/>
          <w:highlight w:val="white"/>
        </w:rPr>
        <w:lastRenderedPageBreak/>
        <w:t>de empresas não poluentes, dragagens com uso de draga tipo HOPER, sucção. São previstas cargas gerais, granéis sólidos e líquidos, congelados e veículos. As atividades a serem desenvolvidas serão de movimentação de fertilizantes e movimentação de derivados de petróleo (IBAMA, 2016).</w:t>
      </w:r>
    </w:p>
    <w:p w:rsidR="00F23EA2" w:rsidRDefault="00F23EA2" w:rsidP="00F23EA2">
      <w:pPr>
        <w:jc w:val="both"/>
      </w:pPr>
      <w:r>
        <w:rPr>
          <w:b/>
          <w:sz w:val="24"/>
          <w:szCs w:val="24"/>
          <w:highlight w:val="white"/>
        </w:rPr>
        <w:t xml:space="preserve">- Porto Organizado de Paranaguá: </w:t>
      </w:r>
      <w:r>
        <w:rPr>
          <w:sz w:val="24"/>
          <w:szCs w:val="24"/>
          <w:highlight w:val="white"/>
        </w:rPr>
        <w:t>serão desenvolvidas atividades como a manipulação e armazenagem de carga em geral, granéis sólidos de origem vegetal e mineral e granéis líquidos; movimentação de contêineres e utilização da draga tipo HOPER; e retirada de resíduos oleosos e operação de reparação e pintura naval. O calado de operação será de 13,8m atendendo navios tipo PANAMAX 225m e CAPE SIZE 275m (IBAMA, 2016).</w:t>
      </w:r>
    </w:p>
    <w:p w:rsidR="00F23EA2" w:rsidRDefault="00F23EA2" w:rsidP="00F23EA2">
      <w:pPr>
        <w:jc w:val="both"/>
      </w:pPr>
      <w:r>
        <w:rPr>
          <w:b/>
          <w:sz w:val="24"/>
          <w:szCs w:val="24"/>
          <w:highlight w:val="white"/>
        </w:rPr>
        <w:t xml:space="preserve">- Porto Organizado de Paranaguá (ampliação): </w:t>
      </w:r>
      <w:r>
        <w:rPr>
          <w:sz w:val="24"/>
          <w:szCs w:val="24"/>
          <w:highlight w:val="white"/>
        </w:rPr>
        <w:t xml:space="preserve">construção de píeres de </w:t>
      </w:r>
      <w:proofErr w:type="spellStart"/>
      <w:r>
        <w:rPr>
          <w:sz w:val="24"/>
          <w:szCs w:val="24"/>
          <w:highlight w:val="white"/>
        </w:rPr>
        <w:t>acostagem</w:t>
      </w:r>
      <w:proofErr w:type="spellEnd"/>
      <w:r>
        <w:rPr>
          <w:sz w:val="24"/>
          <w:szCs w:val="24"/>
          <w:highlight w:val="white"/>
        </w:rPr>
        <w:t xml:space="preserve"> para granéis líquidos, sólidos, carga geral, contêineres e passageiros. O calado mínimo de operação será de 13m e máximo, 15m. Os navios previstos serão os mesmos utilizados atualmente (IBAMA, 2016).</w:t>
      </w:r>
    </w:p>
    <w:p w:rsidR="00F23EA2" w:rsidRDefault="00F23EA2" w:rsidP="00F23EA2">
      <w:pPr>
        <w:jc w:val="both"/>
      </w:pPr>
      <w:r>
        <w:rPr>
          <w:b/>
          <w:sz w:val="24"/>
          <w:szCs w:val="24"/>
          <w:highlight w:val="white"/>
        </w:rPr>
        <w:t xml:space="preserve">- Terminal de Contêineres de Paranaguá (TCP; Ampliação): </w:t>
      </w:r>
      <w:r>
        <w:rPr>
          <w:sz w:val="24"/>
          <w:szCs w:val="24"/>
          <w:highlight w:val="white"/>
        </w:rPr>
        <w:t xml:space="preserve">construção de estruturas rígidas no meio marinho (molhes, diques, </w:t>
      </w:r>
      <w:proofErr w:type="spellStart"/>
      <w:r>
        <w:rPr>
          <w:sz w:val="24"/>
          <w:szCs w:val="24"/>
          <w:highlight w:val="white"/>
        </w:rPr>
        <w:t>enrocamentos</w:t>
      </w:r>
      <w:proofErr w:type="spellEnd"/>
      <w:r>
        <w:rPr>
          <w:sz w:val="24"/>
          <w:szCs w:val="24"/>
          <w:highlight w:val="white"/>
        </w:rPr>
        <w:t xml:space="preserve">, etc). As atividades a serem desenvolvidas incluem dragagem de manutenção, manipulação e armazenamento de contêineres e cargas em geral. O calado mínimo de operação é de 10,2m e, máximo de 15,0m para navios </w:t>
      </w:r>
      <w:proofErr w:type="spellStart"/>
      <w:r>
        <w:rPr>
          <w:sz w:val="24"/>
          <w:szCs w:val="24"/>
          <w:highlight w:val="white"/>
        </w:rPr>
        <w:t>conteineiros</w:t>
      </w:r>
      <w:proofErr w:type="spellEnd"/>
      <w:r>
        <w:rPr>
          <w:sz w:val="24"/>
          <w:szCs w:val="24"/>
          <w:highlight w:val="white"/>
        </w:rPr>
        <w:t xml:space="preserve"> (IBAMA, 2016).</w:t>
      </w:r>
    </w:p>
    <w:p w:rsidR="00F23EA2" w:rsidRDefault="00F23EA2" w:rsidP="00F23EA2">
      <w:pPr>
        <w:jc w:val="both"/>
      </w:pPr>
      <w:r>
        <w:rPr>
          <w:b/>
          <w:sz w:val="24"/>
          <w:szCs w:val="24"/>
          <w:highlight w:val="white"/>
        </w:rPr>
        <w:t xml:space="preserve">- Terminal Portuário da </w:t>
      </w:r>
      <w:proofErr w:type="spellStart"/>
      <w:r>
        <w:rPr>
          <w:b/>
          <w:sz w:val="24"/>
          <w:szCs w:val="24"/>
          <w:highlight w:val="white"/>
        </w:rPr>
        <w:t>Fospar</w:t>
      </w:r>
      <w:proofErr w:type="spellEnd"/>
      <w:r>
        <w:rPr>
          <w:b/>
          <w:sz w:val="24"/>
          <w:szCs w:val="24"/>
          <w:highlight w:val="white"/>
        </w:rPr>
        <w:t xml:space="preserve">: </w:t>
      </w:r>
      <w:r>
        <w:rPr>
          <w:sz w:val="24"/>
          <w:szCs w:val="24"/>
          <w:highlight w:val="white"/>
        </w:rPr>
        <w:t>Trata-se da renovação da Licença de operação (LO) (IBAMA, 2016).</w:t>
      </w:r>
    </w:p>
    <w:p w:rsidR="00F23EA2" w:rsidRDefault="00F23EA2" w:rsidP="00F23EA2">
      <w:pPr>
        <w:jc w:val="both"/>
      </w:pPr>
      <w:r>
        <w:rPr>
          <w:b/>
          <w:sz w:val="24"/>
          <w:szCs w:val="24"/>
          <w:highlight w:val="white"/>
        </w:rPr>
        <w:t xml:space="preserve">- Terminal Portuário Ponta do Félix (TPPF; Ampliação): </w:t>
      </w:r>
      <w:r>
        <w:rPr>
          <w:sz w:val="24"/>
          <w:szCs w:val="24"/>
          <w:highlight w:val="white"/>
        </w:rPr>
        <w:t>ampliação do cais operacional tipo "</w:t>
      </w:r>
      <w:proofErr w:type="spellStart"/>
      <w:r>
        <w:rPr>
          <w:sz w:val="24"/>
          <w:szCs w:val="24"/>
          <w:highlight w:val="white"/>
        </w:rPr>
        <w:t>pier</w:t>
      </w:r>
      <w:proofErr w:type="spellEnd"/>
      <w:r>
        <w:rPr>
          <w:sz w:val="24"/>
          <w:szCs w:val="24"/>
          <w:highlight w:val="white"/>
        </w:rPr>
        <w:t xml:space="preserve">" com extensão de 170m com linha de atracação localizada paralelamente à bacia de evolução TPPF, e </w:t>
      </w:r>
      <w:proofErr w:type="spellStart"/>
      <w:r>
        <w:rPr>
          <w:sz w:val="24"/>
          <w:szCs w:val="24"/>
          <w:highlight w:val="white"/>
        </w:rPr>
        <w:t>dolphin</w:t>
      </w:r>
      <w:proofErr w:type="spellEnd"/>
      <w:r>
        <w:rPr>
          <w:sz w:val="24"/>
          <w:szCs w:val="24"/>
          <w:highlight w:val="white"/>
        </w:rPr>
        <w:t xml:space="preserve"> de amarração. A área de ampliação será prioritariamente utilizada para as operações de granéis sólidos (fertilizantes) de origem mineral (Nitrogênio, Fósforo, Potássio e Ureia), </w:t>
      </w:r>
      <w:proofErr w:type="spellStart"/>
      <w:r>
        <w:rPr>
          <w:sz w:val="24"/>
          <w:szCs w:val="24"/>
          <w:highlight w:val="white"/>
        </w:rPr>
        <w:t>Caulin</w:t>
      </w:r>
      <w:proofErr w:type="spellEnd"/>
      <w:r>
        <w:rPr>
          <w:sz w:val="24"/>
          <w:szCs w:val="24"/>
          <w:highlight w:val="white"/>
        </w:rPr>
        <w:t xml:space="preserve"> (hidro silicato de alumínio) e de origem vegetal (trigo, cevada e malte). O calado mínimo de operação será de 7,10m e, máximo de 9,50m, com projeto previsto para 13,0m (IBAMA, 2016).</w:t>
      </w:r>
    </w:p>
    <w:p w:rsidR="00076C44" w:rsidRDefault="00076C44" w:rsidP="00FF7E06">
      <w:pPr>
        <w:jc w:val="both"/>
        <w:rPr>
          <w:sz w:val="24"/>
        </w:rPr>
      </w:pPr>
    </w:p>
    <w:p w:rsidR="00076C44" w:rsidRDefault="00076C44" w:rsidP="00FF7E06">
      <w:pPr>
        <w:jc w:val="both"/>
        <w:rPr>
          <w:sz w:val="24"/>
        </w:rPr>
      </w:pPr>
    </w:p>
    <w:p w:rsidR="00076C44" w:rsidRDefault="00076C44" w:rsidP="00076C44">
      <w:pPr>
        <w:pStyle w:val="Ttulo3"/>
        <w:numPr>
          <w:ilvl w:val="2"/>
          <w:numId w:val="3"/>
        </w:numPr>
        <w:rPr>
          <w:b w:val="0"/>
          <w:sz w:val="24"/>
        </w:rPr>
      </w:pPr>
      <w:r>
        <w:rPr>
          <w:b w:val="0"/>
          <w:sz w:val="24"/>
        </w:rPr>
        <w:lastRenderedPageBreak/>
        <w:t>Abordagem</w:t>
      </w:r>
      <w:r w:rsidRPr="00076C44">
        <w:rPr>
          <w:b w:val="0"/>
          <w:sz w:val="24"/>
        </w:rPr>
        <w:t xml:space="preserve"> </w:t>
      </w:r>
      <w:r>
        <w:rPr>
          <w:b w:val="0"/>
          <w:sz w:val="24"/>
        </w:rPr>
        <w:t>d</w:t>
      </w:r>
      <w:r w:rsidRPr="00076C44">
        <w:rPr>
          <w:b w:val="0"/>
          <w:sz w:val="24"/>
        </w:rPr>
        <w:t>o complexo portuário pretendido para o município de Pontal do Paraná que inclui um empreendimento em fase de operação e outros em diferentes fases de licenciamento.</w:t>
      </w:r>
    </w:p>
    <w:p w:rsidR="009E065F" w:rsidRDefault="009E065F" w:rsidP="009E065F">
      <w:pPr>
        <w:jc w:val="both"/>
      </w:pPr>
      <w:r>
        <w:rPr>
          <w:sz w:val="24"/>
          <w:szCs w:val="24"/>
          <w:highlight w:val="white"/>
        </w:rPr>
        <w:t xml:space="preserve">- </w:t>
      </w:r>
      <w:r>
        <w:rPr>
          <w:b/>
          <w:sz w:val="24"/>
          <w:szCs w:val="24"/>
          <w:highlight w:val="white"/>
        </w:rPr>
        <w:t xml:space="preserve">Techint Engenharia e Construção S/A: </w:t>
      </w:r>
      <w:r>
        <w:rPr>
          <w:sz w:val="24"/>
          <w:szCs w:val="24"/>
          <w:highlight w:val="white"/>
        </w:rPr>
        <w:t xml:space="preserve">empreendimento em </w:t>
      </w:r>
      <w:proofErr w:type="gramStart"/>
      <w:r>
        <w:rPr>
          <w:sz w:val="24"/>
          <w:szCs w:val="24"/>
          <w:highlight w:val="white"/>
        </w:rPr>
        <w:t>fase de operação localizado</w:t>
      </w:r>
      <w:proofErr w:type="gramEnd"/>
      <w:r>
        <w:rPr>
          <w:sz w:val="24"/>
          <w:szCs w:val="24"/>
          <w:highlight w:val="white"/>
        </w:rPr>
        <w:t xml:space="preserve"> na Ponta do Poço, Balneário Pontal do Sul em Pontal do Paraná PR. Desenvolve projetos complexos, dos estudos de viabilidade até todas as fases da execução, para atender as necessidades das indústrias de petróleo e gás, energia e mineração, e dos setores de aço e infraestrutura (IBAMA, 2016).</w:t>
      </w:r>
    </w:p>
    <w:p w:rsidR="009E065F" w:rsidRDefault="009E065F" w:rsidP="009E065F">
      <w:pPr>
        <w:jc w:val="both"/>
      </w:pPr>
      <w:r>
        <w:rPr>
          <w:b/>
          <w:sz w:val="24"/>
          <w:szCs w:val="24"/>
          <w:highlight w:val="white"/>
        </w:rPr>
        <w:t xml:space="preserve">- Terminal Portuário Porto Pontal (TPPP): </w:t>
      </w:r>
      <w:r>
        <w:rPr>
          <w:sz w:val="24"/>
          <w:szCs w:val="24"/>
          <w:highlight w:val="white"/>
        </w:rPr>
        <w:t>licença de instalação (LI) emitida para construção do cais de atracação de 36m</w:t>
      </w:r>
      <w:proofErr w:type="gramStart"/>
      <w:r>
        <w:rPr>
          <w:sz w:val="24"/>
          <w:szCs w:val="24"/>
          <w:highlight w:val="white"/>
        </w:rPr>
        <w:t>²</w:t>
      </w:r>
      <w:proofErr w:type="gramEnd"/>
      <w:r>
        <w:rPr>
          <w:sz w:val="24"/>
          <w:szCs w:val="24"/>
          <w:highlight w:val="white"/>
        </w:rPr>
        <w:t xml:space="preserve"> para três navios simultaneamente, armazéns de carga com áreas descobertas e vias internas, pátios de armazenagem destinados à estocagem de contêineres e vias de acesso internas de tráfego de equipamentos constituídas de base, sub-base e pavimento em concreto. Será realizado um aterro hidráulico ao longo de toda a extensão do cais até o nível +2,50m construído a partir do terreno existente e avançando em direção ao mar. Haverá supressão da vegetação para preparo do terreno e movimentação da terra através de raspagem e aterro até a cota 0,30m, e dragagem de aprofundamento que será executada ao longo do cais e dos berços de atracação, de acordo com a cota de projeto, sendo a mesma para a área de </w:t>
      </w:r>
      <w:proofErr w:type="spellStart"/>
      <w:r>
        <w:rPr>
          <w:sz w:val="24"/>
          <w:szCs w:val="24"/>
          <w:highlight w:val="white"/>
        </w:rPr>
        <w:t>acostagem</w:t>
      </w:r>
      <w:proofErr w:type="spellEnd"/>
      <w:r>
        <w:rPr>
          <w:sz w:val="24"/>
          <w:szCs w:val="24"/>
          <w:highlight w:val="white"/>
        </w:rPr>
        <w:t xml:space="preserve"> e manobras em -16,00m de calado. O tipo e porte das embarcações previstas serão navios </w:t>
      </w:r>
      <w:proofErr w:type="spellStart"/>
      <w:r>
        <w:rPr>
          <w:sz w:val="24"/>
          <w:szCs w:val="24"/>
          <w:highlight w:val="white"/>
        </w:rPr>
        <w:t>Conteineiros</w:t>
      </w:r>
      <w:proofErr w:type="spellEnd"/>
      <w:r>
        <w:rPr>
          <w:sz w:val="24"/>
          <w:szCs w:val="24"/>
          <w:highlight w:val="white"/>
        </w:rPr>
        <w:t xml:space="preserve"> e </w:t>
      </w:r>
      <w:proofErr w:type="spellStart"/>
      <w:r>
        <w:rPr>
          <w:sz w:val="24"/>
          <w:szCs w:val="24"/>
          <w:highlight w:val="white"/>
        </w:rPr>
        <w:t>Super</w:t>
      </w:r>
      <w:proofErr w:type="spellEnd"/>
      <w:r>
        <w:rPr>
          <w:sz w:val="24"/>
          <w:szCs w:val="24"/>
          <w:highlight w:val="white"/>
        </w:rPr>
        <w:t xml:space="preserve"> Post-</w:t>
      </w:r>
      <w:proofErr w:type="spellStart"/>
      <w:r>
        <w:rPr>
          <w:sz w:val="24"/>
          <w:szCs w:val="24"/>
          <w:highlight w:val="white"/>
        </w:rPr>
        <w:t>Panamax</w:t>
      </w:r>
      <w:proofErr w:type="spellEnd"/>
      <w:r>
        <w:rPr>
          <w:sz w:val="24"/>
          <w:szCs w:val="24"/>
          <w:highlight w:val="white"/>
        </w:rPr>
        <w:t xml:space="preserve">, e estão previstas cargas como madeira, papel, café, couro, carne, carros e componentes de usinas hidrelétricas e cargas perigosas como álcool em tonéis e </w:t>
      </w:r>
      <w:proofErr w:type="spellStart"/>
      <w:r>
        <w:rPr>
          <w:sz w:val="24"/>
          <w:szCs w:val="24"/>
          <w:highlight w:val="white"/>
        </w:rPr>
        <w:t>air</w:t>
      </w:r>
      <w:proofErr w:type="spellEnd"/>
      <w:r>
        <w:rPr>
          <w:sz w:val="24"/>
          <w:szCs w:val="24"/>
          <w:highlight w:val="white"/>
        </w:rPr>
        <w:t>-bag de carros (IBAMA, 2016).</w:t>
      </w:r>
    </w:p>
    <w:p w:rsidR="009E065F" w:rsidRDefault="009E065F" w:rsidP="009E065F">
      <w:pPr>
        <w:jc w:val="both"/>
      </w:pPr>
      <w:r>
        <w:rPr>
          <w:b/>
          <w:sz w:val="24"/>
          <w:szCs w:val="24"/>
          <w:highlight w:val="white"/>
        </w:rPr>
        <w:t xml:space="preserve">- MELPORT TERMINAIS MARÍTIMOS LTDA - </w:t>
      </w:r>
      <w:r>
        <w:rPr>
          <w:sz w:val="24"/>
          <w:szCs w:val="24"/>
          <w:highlight w:val="white"/>
        </w:rPr>
        <w:t xml:space="preserve">o empreendimento pretendido se constitui em implantação e operação de terminal portuário privado, com parque de armazenamento de granéis líquidos químicos e inflamáveis, armazém de cargas gerais, pátio de contêiner e estrutura administrativa. O píer proposto terá capacidade para atracação de até dois navios com calado de até 15m, a ser executado na faixa de 275m de distância da margem, com o comprimento de 400m por 60m de </w:t>
      </w:r>
      <w:proofErr w:type="gramStart"/>
      <w:r>
        <w:rPr>
          <w:sz w:val="24"/>
          <w:szCs w:val="24"/>
          <w:highlight w:val="white"/>
        </w:rPr>
        <w:t>largura aproximadamente, sustentado por estacas centrifugadas cravadas no fundo do mar.</w:t>
      </w:r>
      <w:proofErr w:type="gramEnd"/>
    </w:p>
    <w:p w:rsidR="009E065F" w:rsidRDefault="009E065F" w:rsidP="009E065F">
      <w:pPr>
        <w:jc w:val="both"/>
      </w:pPr>
      <w:r>
        <w:rPr>
          <w:sz w:val="24"/>
          <w:szCs w:val="24"/>
          <w:highlight w:val="white"/>
        </w:rPr>
        <w:t xml:space="preserve">O parque de armazenamento de granéis líquidos será consistido de 42 tanques de aço carbono com capacidade total de 319.200 m³, divididos em duas bacias de </w:t>
      </w:r>
      <w:r>
        <w:rPr>
          <w:sz w:val="24"/>
          <w:szCs w:val="24"/>
          <w:highlight w:val="white"/>
        </w:rPr>
        <w:lastRenderedPageBreak/>
        <w:t>contenção. A área onde se pretende desenvolver o empreendimento está localizada em terreno à beira mar no município de Pontal do Paraná/PR, na região de Ponta do Poço, às margens sul da Baía de Paranaguá (margem direita da embocadura do Canal da Cotinga), na direção da Ilha Rasa da Cotinga, situado na Zona denominada Setor Especial portuário - SEP, Perímetro da Área Urbana, conforme definido pela Legislação Municipal. (EIA MELPORT, 2014)</w:t>
      </w:r>
    </w:p>
    <w:p w:rsidR="009E065F" w:rsidRDefault="009E065F" w:rsidP="009E065F">
      <w:pPr>
        <w:jc w:val="both"/>
      </w:pPr>
      <w:r>
        <w:rPr>
          <w:b/>
          <w:sz w:val="24"/>
          <w:szCs w:val="24"/>
          <w:highlight w:val="white"/>
        </w:rPr>
        <w:t xml:space="preserve">- </w:t>
      </w:r>
      <w:proofErr w:type="spellStart"/>
      <w:r>
        <w:rPr>
          <w:b/>
          <w:sz w:val="24"/>
          <w:szCs w:val="24"/>
          <w:highlight w:val="white"/>
        </w:rPr>
        <w:t>Subsea</w:t>
      </w:r>
      <w:proofErr w:type="spellEnd"/>
      <w:r>
        <w:rPr>
          <w:b/>
          <w:sz w:val="24"/>
          <w:szCs w:val="24"/>
          <w:highlight w:val="white"/>
        </w:rPr>
        <w:t xml:space="preserve"> </w:t>
      </w:r>
      <w:proofErr w:type="gramStart"/>
      <w:r>
        <w:rPr>
          <w:b/>
          <w:sz w:val="24"/>
          <w:szCs w:val="24"/>
          <w:highlight w:val="white"/>
        </w:rPr>
        <w:t>7</w:t>
      </w:r>
      <w:proofErr w:type="gramEnd"/>
      <w:r>
        <w:rPr>
          <w:b/>
          <w:sz w:val="24"/>
          <w:szCs w:val="24"/>
          <w:highlight w:val="white"/>
        </w:rPr>
        <w:t xml:space="preserve">: </w:t>
      </w:r>
      <w:r>
        <w:rPr>
          <w:sz w:val="24"/>
          <w:szCs w:val="24"/>
          <w:highlight w:val="white"/>
        </w:rPr>
        <w:t xml:space="preserve">na área da poligonal do Porto de Paranaguá, no município de Pontal do Paraná, está prevista a construção de um píer de </w:t>
      </w:r>
      <w:proofErr w:type="spellStart"/>
      <w:r>
        <w:rPr>
          <w:sz w:val="24"/>
          <w:szCs w:val="24"/>
          <w:highlight w:val="white"/>
        </w:rPr>
        <w:t>acostagem</w:t>
      </w:r>
      <w:proofErr w:type="spellEnd"/>
      <w:r>
        <w:rPr>
          <w:sz w:val="24"/>
          <w:szCs w:val="24"/>
          <w:highlight w:val="white"/>
        </w:rPr>
        <w:t xml:space="preserve"> de 300 metros quadrados para atividades de embarque de tubos rígidos e de apoio a construção submarina, e um cais com plataforma para atracação de barcaça  que receberá tubos rígidos com mais de 10 metros de comprimento (APPA, 2015).</w:t>
      </w:r>
    </w:p>
    <w:p w:rsidR="00587D63" w:rsidRDefault="00587D63" w:rsidP="00587D63">
      <w:pPr>
        <w:pStyle w:val="Ttulo3"/>
        <w:numPr>
          <w:ilvl w:val="2"/>
          <w:numId w:val="3"/>
        </w:numPr>
        <w:rPr>
          <w:rFonts w:cstheme="minorHAnsi"/>
          <w:b w:val="0"/>
          <w:sz w:val="24"/>
        </w:rPr>
      </w:pPr>
      <w:r w:rsidRPr="00587D63">
        <w:rPr>
          <w:rFonts w:cstheme="minorHAnsi"/>
          <w:b w:val="0"/>
          <w:sz w:val="24"/>
        </w:rPr>
        <w:t>Detalhamento das estruturas subsidiárias à expansão da atividade portuária</w:t>
      </w:r>
    </w:p>
    <w:p w:rsidR="009E065F" w:rsidRDefault="009E065F" w:rsidP="009E065F">
      <w:pPr>
        <w:jc w:val="both"/>
      </w:pPr>
      <w:r>
        <w:rPr>
          <w:b/>
          <w:sz w:val="24"/>
          <w:szCs w:val="24"/>
          <w:highlight w:val="white"/>
        </w:rPr>
        <w:t xml:space="preserve">- Dragagem dos Canais de acesso, Berços e Bacia de Evolução no Porto de Paranaguá e Antonina: </w:t>
      </w:r>
      <w:r>
        <w:rPr>
          <w:sz w:val="24"/>
          <w:szCs w:val="24"/>
          <w:highlight w:val="white"/>
        </w:rPr>
        <w:t>nova dragagem de aprofundamento e manutenção do canal que possui largura de 200m e comprimento de 43.000m, com uma estimativa de volume a ser dragado na cava de 15800m</w:t>
      </w:r>
      <w:proofErr w:type="gramStart"/>
      <w:r>
        <w:rPr>
          <w:sz w:val="24"/>
          <w:szCs w:val="24"/>
          <w:highlight w:val="white"/>
        </w:rPr>
        <w:t>³</w:t>
      </w:r>
      <w:proofErr w:type="gramEnd"/>
      <w:r>
        <w:rPr>
          <w:sz w:val="24"/>
          <w:szCs w:val="24"/>
          <w:highlight w:val="white"/>
        </w:rPr>
        <w:t xml:space="preserve">, utilizando draga </w:t>
      </w:r>
      <w:proofErr w:type="spellStart"/>
      <w:r>
        <w:rPr>
          <w:sz w:val="24"/>
          <w:szCs w:val="24"/>
          <w:highlight w:val="white"/>
        </w:rPr>
        <w:t>autotransportadora</w:t>
      </w:r>
      <w:proofErr w:type="spellEnd"/>
      <w:r>
        <w:rPr>
          <w:sz w:val="24"/>
          <w:szCs w:val="24"/>
          <w:highlight w:val="white"/>
        </w:rPr>
        <w:t xml:space="preserve"> - HOPER e dragas de sucção e recalque, para áreas de despejo interna. O aprofundamento da nova operação será de 15m para 16m, com manutenção regular de 13m para 15m (IBAMA, 2016).</w:t>
      </w:r>
    </w:p>
    <w:p w:rsidR="009E065F" w:rsidRDefault="009E065F" w:rsidP="009E065F">
      <w:pPr>
        <w:jc w:val="both"/>
      </w:pPr>
      <w:r>
        <w:rPr>
          <w:b/>
          <w:sz w:val="24"/>
          <w:szCs w:val="24"/>
          <w:highlight w:val="white"/>
        </w:rPr>
        <w:t xml:space="preserve">- Dragagem Estaleiro </w:t>
      </w:r>
      <w:proofErr w:type="spellStart"/>
      <w:r>
        <w:rPr>
          <w:b/>
          <w:sz w:val="24"/>
          <w:szCs w:val="24"/>
          <w:highlight w:val="white"/>
        </w:rPr>
        <w:t>Brasmar</w:t>
      </w:r>
      <w:proofErr w:type="spellEnd"/>
      <w:r>
        <w:rPr>
          <w:b/>
          <w:sz w:val="24"/>
          <w:szCs w:val="24"/>
          <w:highlight w:val="white"/>
        </w:rPr>
        <w:t xml:space="preserve">: </w:t>
      </w:r>
      <w:r>
        <w:rPr>
          <w:sz w:val="24"/>
          <w:szCs w:val="24"/>
          <w:highlight w:val="white"/>
        </w:rPr>
        <w:t>nova dragagem de aprofundamento do canal em Antonina, que possui largura de 20m e comprimento de 200m, com uma estimativa de volume a ser dragado na cava de 30.000m³. A área pretendida para descarte de material será em terra, na retro área e como aterro. O aprofundamento será de 7m para obter uma profundidade de operação de 6,5m (IBAMA, 2016).</w:t>
      </w:r>
    </w:p>
    <w:p w:rsidR="009E065F" w:rsidRDefault="009E065F" w:rsidP="009E065F">
      <w:pPr>
        <w:jc w:val="both"/>
      </w:pPr>
      <w:r>
        <w:rPr>
          <w:b/>
          <w:sz w:val="24"/>
          <w:szCs w:val="24"/>
          <w:highlight w:val="white"/>
        </w:rPr>
        <w:t xml:space="preserve">- Corredor Viário Industrial Oeste: </w:t>
      </w:r>
      <w:r w:rsidR="00072D3C">
        <w:rPr>
          <w:sz w:val="24"/>
          <w:szCs w:val="24"/>
          <w:highlight w:val="white"/>
        </w:rPr>
        <w:t>popularmente conhecido como faixa de infraestrutura</w:t>
      </w:r>
      <w:r w:rsidR="00244A37">
        <w:rPr>
          <w:sz w:val="24"/>
          <w:szCs w:val="24"/>
          <w:highlight w:val="white"/>
        </w:rPr>
        <w:t xml:space="preserve"> (o projeto</w:t>
      </w:r>
      <w:r w:rsidR="001A4CBE">
        <w:rPr>
          <w:sz w:val="24"/>
          <w:szCs w:val="24"/>
          <w:highlight w:val="white"/>
        </w:rPr>
        <w:t xml:space="preserve"> ainda</w:t>
      </w:r>
      <w:r w:rsidR="00244A37">
        <w:rPr>
          <w:sz w:val="24"/>
          <w:szCs w:val="24"/>
          <w:highlight w:val="white"/>
        </w:rPr>
        <w:t xml:space="preserve"> conta com</w:t>
      </w:r>
      <w:r w:rsidR="001A4CBE">
        <w:rPr>
          <w:sz w:val="24"/>
          <w:szCs w:val="24"/>
          <w:highlight w:val="white"/>
        </w:rPr>
        <w:t xml:space="preserve"> ferrovia, gasoduto, </w:t>
      </w:r>
      <w:r w:rsidR="00244A37">
        <w:rPr>
          <w:sz w:val="24"/>
          <w:szCs w:val="24"/>
          <w:highlight w:val="white"/>
        </w:rPr>
        <w:t xml:space="preserve">linha de transmissão, </w:t>
      </w:r>
      <w:r w:rsidR="001A4CBE">
        <w:rPr>
          <w:sz w:val="24"/>
          <w:szCs w:val="24"/>
          <w:highlight w:val="white"/>
        </w:rPr>
        <w:t>canal de macrodrenagem e saneamento)</w:t>
      </w:r>
      <w:r w:rsidR="00072D3C">
        <w:rPr>
          <w:sz w:val="24"/>
          <w:szCs w:val="24"/>
          <w:highlight w:val="white"/>
        </w:rPr>
        <w:t xml:space="preserve">, </w:t>
      </w:r>
      <w:r>
        <w:rPr>
          <w:sz w:val="24"/>
          <w:szCs w:val="24"/>
          <w:highlight w:val="white"/>
        </w:rPr>
        <w:t>está inserido no Plano Viário Municipal e tem por objetivo atender a Zona Industrial Portuária do Município de Pontal do Paraná</w:t>
      </w:r>
      <w:r w:rsidR="00072D3C">
        <w:rPr>
          <w:sz w:val="24"/>
          <w:szCs w:val="24"/>
          <w:highlight w:val="white"/>
        </w:rPr>
        <w:t xml:space="preserve">, sendo condicionante para a Licença de Instalação do </w:t>
      </w:r>
      <w:r w:rsidR="00244A37">
        <w:rPr>
          <w:sz w:val="24"/>
          <w:szCs w:val="24"/>
          <w:highlight w:val="white"/>
        </w:rPr>
        <w:t>Porto Pontal.</w:t>
      </w:r>
      <w:r>
        <w:rPr>
          <w:sz w:val="24"/>
          <w:szCs w:val="24"/>
          <w:highlight w:val="white"/>
        </w:rPr>
        <w:t xml:space="preserve"> Será composto de 14 (quatorze) </w:t>
      </w:r>
      <w:proofErr w:type="spellStart"/>
      <w:r>
        <w:rPr>
          <w:sz w:val="24"/>
          <w:szCs w:val="24"/>
          <w:highlight w:val="white"/>
        </w:rPr>
        <w:t>sub-trechos</w:t>
      </w:r>
      <w:proofErr w:type="spellEnd"/>
      <w:r>
        <w:rPr>
          <w:sz w:val="24"/>
          <w:szCs w:val="24"/>
          <w:highlight w:val="white"/>
        </w:rPr>
        <w:t xml:space="preserve"> perpendiculares compreendidos entre Ponta do Poço, Balneário Pontal do Sul, Canal DNOS, Itat</w:t>
      </w:r>
      <w:r w:rsidR="001A4CBE">
        <w:rPr>
          <w:sz w:val="24"/>
          <w:szCs w:val="24"/>
          <w:highlight w:val="white"/>
        </w:rPr>
        <w:t xml:space="preserve">iaia, </w:t>
      </w:r>
      <w:proofErr w:type="spellStart"/>
      <w:r w:rsidR="001A4CBE">
        <w:rPr>
          <w:sz w:val="24"/>
          <w:szCs w:val="24"/>
          <w:highlight w:val="white"/>
        </w:rPr>
        <w:t>Shangrilá</w:t>
      </w:r>
      <w:proofErr w:type="spellEnd"/>
      <w:r w:rsidR="001A4CBE">
        <w:rPr>
          <w:sz w:val="24"/>
          <w:szCs w:val="24"/>
          <w:highlight w:val="white"/>
        </w:rPr>
        <w:t xml:space="preserve"> e PR 407, com </w:t>
      </w:r>
      <w:r>
        <w:rPr>
          <w:sz w:val="24"/>
          <w:szCs w:val="24"/>
          <w:highlight w:val="white"/>
        </w:rPr>
        <w:t xml:space="preserve">seis acessos </w:t>
      </w:r>
      <w:proofErr w:type="gramStart"/>
      <w:r>
        <w:rPr>
          <w:sz w:val="24"/>
          <w:szCs w:val="24"/>
          <w:highlight w:val="white"/>
        </w:rPr>
        <w:t>à</w:t>
      </w:r>
      <w:proofErr w:type="gramEnd"/>
      <w:r>
        <w:rPr>
          <w:sz w:val="24"/>
          <w:szCs w:val="24"/>
          <w:highlight w:val="white"/>
        </w:rPr>
        <w:t xml:space="preserve"> partir das áreas urbanizadas de Pontal do Paraná. Será projetado </w:t>
      </w:r>
      <w:r>
        <w:rPr>
          <w:sz w:val="24"/>
          <w:szCs w:val="24"/>
          <w:highlight w:val="white"/>
        </w:rPr>
        <w:lastRenderedPageBreak/>
        <w:t>como uma rodovia de características de via expressa compatível com a Classe zero (0) da Classificação Rodoviária Nacional com 17,4km de extensão (IBAMA, 2016).</w:t>
      </w:r>
    </w:p>
    <w:p w:rsidR="00721032" w:rsidRDefault="00721032" w:rsidP="00721032">
      <w:pPr>
        <w:pStyle w:val="Ttulo3"/>
        <w:numPr>
          <w:ilvl w:val="2"/>
          <w:numId w:val="3"/>
        </w:numPr>
        <w:rPr>
          <w:b w:val="0"/>
          <w:sz w:val="24"/>
        </w:rPr>
      </w:pPr>
      <w:r w:rsidRPr="00721032">
        <w:rPr>
          <w:b w:val="0"/>
          <w:sz w:val="24"/>
        </w:rPr>
        <w:t xml:space="preserve">Principais impactos das expansões dos portos e dos novos empreendimentos que possam afetar as </w:t>
      </w:r>
      <w:proofErr w:type="spellStart"/>
      <w:r w:rsidRPr="00721032">
        <w:rPr>
          <w:b w:val="0"/>
          <w:sz w:val="24"/>
        </w:rPr>
        <w:t>UCs</w:t>
      </w:r>
      <w:proofErr w:type="spellEnd"/>
    </w:p>
    <w:p w:rsidR="009E065F" w:rsidRDefault="009E065F" w:rsidP="009E065F">
      <w:pPr>
        <w:spacing w:before="240"/>
      </w:pPr>
      <w:r>
        <w:rPr>
          <w:sz w:val="24"/>
          <w:szCs w:val="24"/>
          <w:highlight w:val="white"/>
        </w:rPr>
        <w:t>Meio físico</w:t>
      </w:r>
    </w:p>
    <w:p w:rsidR="009E065F" w:rsidRDefault="009E065F" w:rsidP="009E065F">
      <w:pPr>
        <w:spacing w:before="240"/>
        <w:ind w:firstLine="700"/>
        <w:jc w:val="both"/>
      </w:pPr>
      <w:r>
        <w:rPr>
          <w:sz w:val="24"/>
          <w:szCs w:val="24"/>
          <w:highlight w:val="white"/>
        </w:rPr>
        <w:t>A área a ser diretamente impactada pelas obras, em termos do fator clima e ar, limita-se ao entorno imediato da região selecionada, atingindo uma faixa com raio estabelecido em 10 km (dez quilômetros), tangenciando, desde a costa leste do Porto de Paranaguá até a costa oeste do Porto de Antonina, com especial interesse para a porção contida no município de Paranaguá. Já a Área de Influência Indireta, constitui-se numa região com difícil delimitação física e geográfica, no que concerne a este fator e pode chegar até a Serra do Mar, pulmão natural com capacidade de neutralizar e filtrar emissões atmosféricas. A Área de Influência Indireta, assim identificada, engloba o Parque Estadual da Ilha do Mel, o Parque Nacional do Superagüi, a Estação Ecológica da Ilha do Mel, a Área de Proteção Ambiental Federal de Guaraqueçaba, entre outras (APPA, 2004).</w:t>
      </w:r>
    </w:p>
    <w:p w:rsidR="009E065F" w:rsidRDefault="009E065F" w:rsidP="009E065F">
      <w:pPr>
        <w:ind w:firstLine="700"/>
        <w:jc w:val="both"/>
      </w:pPr>
      <w:r>
        <w:rPr>
          <w:sz w:val="24"/>
          <w:szCs w:val="24"/>
          <w:highlight w:val="white"/>
        </w:rPr>
        <w:t xml:space="preserve">Considerando-se o fato de que o meio aquoso é homogêneo e que os ecossistemas estuarinos, tais como o CEP, são afetados em sua totalidade pelos processos hidrodinâmicos de mistura, pode-se definir como Área de Influência Direta da construção do cais oeste e obras de dragagem, todo o eixo </w:t>
      </w:r>
      <w:proofErr w:type="spellStart"/>
      <w:r>
        <w:rPr>
          <w:sz w:val="24"/>
          <w:szCs w:val="24"/>
          <w:highlight w:val="white"/>
        </w:rPr>
        <w:t>leste-oeste</w:t>
      </w:r>
      <w:proofErr w:type="spellEnd"/>
      <w:r>
        <w:rPr>
          <w:sz w:val="24"/>
          <w:szCs w:val="24"/>
          <w:highlight w:val="white"/>
        </w:rPr>
        <w:t xml:space="preserve"> do CEP. A Área de Influência Indireta, por sua vez, pode ser estabelecida como incluindo ainda, o eixo norte-sul e a porção inicial dos rios Itiberê e </w:t>
      </w:r>
      <w:proofErr w:type="spellStart"/>
      <w:r>
        <w:rPr>
          <w:sz w:val="24"/>
          <w:szCs w:val="24"/>
          <w:highlight w:val="white"/>
        </w:rPr>
        <w:t>Boguaçu</w:t>
      </w:r>
      <w:proofErr w:type="spellEnd"/>
      <w:r>
        <w:rPr>
          <w:sz w:val="24"/>
          <w:szCs w:val="24"/>
          <w:highlight w:val="white"/>
        </w:rPr>
        <w:t>, uma vez que sedimentos e efluentes contaminados</w:t>
      </w:r>
      <w:proofErr w:type="gramStart"/>
      <w:r>
        <w:rPr>
          <w:sz w:val="24"/>
          <w:szCs w:val="24"/>
          <w:highlight w:val="white"/>
        </w:rPr>
        <w:t>, podem</w:t>
      </w:r>
      <w:proofErr w:type="gramEnd"/>
      <w:r>
        <w:rPr>
          <w:sz w:val="24"/>
          <w:szCs w:val="24"/>
          <w:highlight w:val="white"/>
        </w:rPr>
        <w:t xml:space="preserve"> eventualmente, alcançar a Baía das Laranjeiras quando transportados pelo sistema de correntes, especialmente, por ocasião de ventos fortes do setor sul e, os rios acima citados, pela ação das componentes transversais das correntes, nos períodos de vazante de maré (APPA, 2004).</w:t>
      </w:r>
    </w:p>
    <w:p w:rsidR="009E065F" w:rsidRDefault="009E065F" w:rsidP="009E065F">
      <w:pPr>
        <w:spacing w:before="240"/>
        <w:ind w:firstLine="700"/>
        <w:jc w:val="both"/>
      </w:pPr>
      <w:r>
        <w:rPr>
          <w:sz w:val="24"/>
          <w:szCs w:val="24"/>
          <w:highlight w:val="white"/>
        </w:rPr>
        <w:t xml:space="preserve">A Área de Influência Direta da obra do Cais Oeste é restrita às adjacências do empreendimento, tendo em vista que os materiais ali existentes serão enterrados e ou expulsos. A área de Influência Indireta se estende até a costa (região do Rocio), </w:t>
      </w:r>
      <w:r>
        <w:rPr>
          <w:sz w:val="24"/>
          <w:szCs w:val="24"/>
          <w:highlight w:val="white"/>
        </w:rPr>
        <w:lastRenderedPageBreak/>
        <w:t xml:space="preserve">em razão de que a construção do aterro do </w:t>
      </w:r>
      <w:proofErr w:type="spellStart"/>
      <w:r>
        <w:rPr>
          <w:sz w:val="24"/>
          <w:szCs w:val="24"/>
          <w:highlight w:val="white"/>
        </w:rPr>
        <w:t>retroporto</w:t>
      </w:r>
      <w:proofErr w:type="spellEnd"/>
      <w:r>
        <w:rPr>
          <w:sz w:val="24"/>
          <w:szCs w:val="24"/>
          <w:highlight w:val="white"/>
        </w:rPr>
        <w:t>, provavelmente afetará toda a pequena baía criada pelo empreendimento, em termos de aumento da taxa de assoreamento. As obras de dragagem se resumem a não mais do que uma centena de metros nas laterais dos canais, berços e bacias a serem dragados, visto que o aprofundamento dos mesmos propiciará uma tendência de aumento da taxa de assoreamento pela remobilização dos materiais situados em suas proximidades (APPA, 2004).</w:t>
      </w:r>
    </w:p>
    <w:p w:rsidR="009E065F" w:rsidRDefault="009E065F" w:rsidP="009E065F">
      <w:pPr>
        <w:spacing w:before="240"/>
        <w:jc w:val="both"/>
      </w:pPr>
      <w:r>
        <w:rPr>
          <w:sz w:val="24"/>
          <w:szCs w:val="24"/>
          <w:highlight w:val="white"/>
        </w:rPr>
        <w:t>Meio biótico</w:t>
      </w:r>
    </w:p>
    <w:p w:rsidR="009E065F" w:rsidRDefault="009E065F" w:rsidP="009E065F">
      <w:pPr>
        <w:spacing w:before="240"/>
        <w:ind w:firstLine="700"/>
        <w:jc w:val="both"/>
      </w:pPr>
      <w:r>
        <w:rPr>
          <w:sz w:val="24"/>
          <w:szCs w:val="24"/>
          <w:highlight w:val="white"/>
        </w:rPr>
        <w:t xml:space="preserve">A Área de Influência Direta sobre este fator foi estabelecida dentro de um círculo máximo de raio de 500 m a partir da área do empreendimento. Por outro lado, a área de influência indireta foi considerada como sendo contida em uma área de raio de 10 km a partir do empreendimento, ao redor da Baía de Paranaguá, que inclui a </w:t>
      </w:r>
      <w:proofErr w:type="spellStart"/>
      <w:proofErr w:type="gramStart"/>
      <w:r>
        <w:rPr>
          <w:sz w:val="24"/>
          <w:szCs w:val="24"/>
          <w:highlight w:val="white"/>
        </w:rPr>
        <w:t>Sub-formação</w:t>
      </w:r>
      <w:proofErr w:type="spellEnd"/>
      <w:proofErr w:type="gramEnd"/>
      <w:r>
        <w:rPr>
          <w:sz w:val="24"/>
          <w:szCs w:val="24"/>
          <w:highlight w:val="white"/>
        </w:rPr>
        <w:t xml:space="preserve"> de Terras Baixas, da Floresta Ombrófila Densa e ecossistemas associados, como as Formações Pioneiras de Influência Marinha, Fluvial e Fluvio-marinha. Essa definição teve, como base, o conceito de Risco Ambiental, ou seja, possibilidade de alteração negativa no meio ambiente, em decorrência da </w:t>
      </w:r>
      <w:proofErr w:type="gramStart"/>
      <w:r>
        <w:rPr>
          <w:sz w:val="24"/>
          <w:szCs w:val="24"/>
          <w:highlight w:val="white"/>
        </w:rPr>
        <w:t>implementação</w:t>
      </w:r>
      <w:proofErr w:type="gramEnd"/>
      <w:r>
        <w:rPr>
          <w:sz w:val="24"/>
          <w:szCs w:val="24"/>
          <w:highlight w:val="white"/>
        </w:rPr>
        <w:t xml:space="preserve"> de um empreendimento, que não se caracteriza como impacto ambiental pela pequena probabilidade de efetivamente ocorrer, mas que, se vier a ocorrer, poderá se desdobrar em impactos ambientais significativos, exigindo a adoção de medidas rápidas e seguras para o seu controle. </w:t>
      </w:r>
      <w:proofErr w:type="gramStart"/>
      <w:r>
        <w:rPr>
          <w:sz w:val="24"/>
          <w:szCs w:val="24"/>
          <w:highlight w:val="white"/>
        </w:rPr>
        <w:t>Foram</w:t>
      </w:r>
      <w:proofErr w:type="gramEnd"/>
      <w:r>
        <w:rPr>
          <w:sz w:val="24"/>
          <w:szCs w:val="24"/>
          <w:highlight w:val="white"/>
        </w:rPr>
        <w:t xml:space="preserve"> caracterizados como “risco ambiental” na área do empreendimento, o derramamento de combustível e cargas, como grãos de soja, na fase de operação; o deslocamento de pessoal, maquinário e equipamentos durante a fase de implantação e a proliferação de espécies invasoras, entre outros (APPA, 2004).</w:t>
      </w:r>
    </w:p>
    <w:p w:rsidR="009E065F" w:rsidRDefault="009E065F" w:rsidP="009E065F">
      <w:pPr>
        <w:spacing w:before="240"/>
        <w:ind w:firstLine="700"/>
        <w:jc w:val="both"/>
      </w:pPr>
      <w:r>
        <w:rPr>
          <w:sz w:val="24"/>
          <w:szCs w:val="24"/>
          <w:highlight w:val="white"/>
        </w:rPr>
        <w:t>A Área de Influência no que diz respeito à fauna terrestre, não possui limites bem definidos, pois o conhecimento dos processos que regem a dinâmica do estuário é insuficiente para que possam ser estabelecidos padrões, principalmente para as aves, que podem utilizar uma variedade de habitats dentro da baía, mesmo que temporariamente, condicionados, entre outros fatores, pela intensidade das marés, que difere ao longo de um ciclo sazonal completo (APPA, 2004).</w:t>
      </w:r>
    </w:p>
    <w:p w:rsidR="009E065F" w:rsidRDefault="009E065F" w:rsidP="009E065F">
      <w:pPr>
        <w:ind w:firstLine="700"/>
        <w:jc w:val="both"/>
      </w:pPr>
      <w:r>
        <w:rPr>
          <w:sz w:val="24"/>
          <w:szCs w:val="24"/>
          <w:highlight w:val="white"/>
        </w:rPr>
        <w:lastRenderedPageBreak/>
        <w:t xml:space="preserve">Com relação à comunidade planctônica e à </w:t>
      </w:r>
      <w:proofErr w:type="spellStart"/>
      <w:r>
        <w:rPr>
          <w:sz w:val="24"/>
          <w:szCs w:val="24"/>
          <w:highlight w:val="white"/>
        </w:rPr>
        <w:t>ictiofauna</w:t>
      </w:r>
      <w:proofErr w:type="spellEnd"/>
      <w:r>
        <w:rPr>
          <w:sz w:val="24"/>
          <w:szCs w:val="24"/>
          <w:highlight w:val="white"/>
        </w:rPr>
        <w:t xml:space="preserve">, a área de influência direta será a coluna de água sobre a qual o material da dragagem será diretamente despejado. Isso inclui o entorno do porto e as áreas adjacentes onde </w:t>
      </w:r>
      <w:proofErr w:type="gramStart"/>
      <w:r>
        <w:rPr>
          <w:sz w:val="24"/>
          <w:szCs w:val="24"/>
          <w:highlight w:val="white"/>
        </w:rPr>
        <w:t>a</w:t>
      </w:r>
      <w:proofErr w:type="gramEnd"/>
      <w:r>
        <w:rPr>
          <w:sz w:val="24"/>
          <w:szCs w:val="24"/>
          <w:highlight w:val="white"/>
        </w:rPr>
        <w:t xml:space="preserve"> draga irá operar. A área de influência indireta é definida pela circulação da maré, principal agente de transporte lateral do material dragado. Essa área abrange, no mínimo, os setores intermediários da Baía de Paranaguá, entre as imediações da Ponta do Felix, área de manobra dos navios (bacia de evolução), região portuária propriamente dita e Canal da Galheta até a altura da Ilha das Cobras e também o Canal da Cotinga, nas imediações do rio Itiberê, por onde, parte do material dragado, poderá ser </w:t>
      </w:r>
      <w:proofErr w:type="gramStart"/>
      <w:r>
        <w:rPr>
          <w:sz w:val="24"/>
          <w:szCs w:val="24"/>
          <w:highlight w:val="white"/>
        </w:rPr>
        <w:t>transportado</w:t>
      </w:r>
      <w:proofErr w:type="gramEnd"/>
      <w:r>
        <w:rPr>
          <w:sz w:val="24"/>
          <w:szCs w:val="24"/>
          <w:highlight w:val="white"/>
        </w:rPr>
        <w:t>, durante a maré vazante.</w:t>
      </w:r>
    </w:p>
    <w:p w:rsidR="009E065F" w:rsidRDefault="009E065F" w:rsidP="009E065F">
      <w:pPr>
        <w:spacing w:before="240"/>
        <w:jc w:val="both"/>
      </w:pPr>
      <w:r>
        <w:rPr>
          <w:sz w:val="24"/>
          <w:szCs w:val="24"/>
          <w:highlight w:val="white"/>
        </w:rPr>
        <w:t>Meio socioeconômico</w:t>
      </w:r>
    </w:p>
    <w:p w:rsidR="009E065F" w:rsidRDefault="009E065F" w:rsidP="009E065F">
      <w:pPr>
        <w:spacing w:before="240"/>
        <w:ind w:firstLine="700"/>
        <w:jc w:val="both"/>
      </w:pPr>
      <w:r>
        <w:rPr>
          <w:sz w:val="24"/>
          <w:szCs w:val="24"/>
          <w:highlight w:val="white"/>
        </w:rPr>
        <w:t xml:space="preserve">No que diz respeito às perspectivas, a forte tendência ao crescimento do comércio internacional indica que a atividade portuária localizada na Baía de Paranaguá buscará se </w:t>
      </w:r>
      <w:proofErr w:type="gramStart"/>
      <w:r>
        <w:rPr>
          <w:sz w:val="24"/>
          <w:szCs w:val="24"/>
          <w:highlight w:val="white"/>
        </w:rPr>
        <w:t>expandir,</w:t>
      </w:r>
      <w:proofErr w:type="gramEnd"/>
      <w:r>
        <w:rPr>
          <w:sz w:val="24"/>
          <w:szCs w:val="24"/>
          <w:highlight w:val="white"/>
        </w:rPr>
        <w:t xml:space="preserve"> o que implicará aumentar as áreas de </w:t>
      </w:r>
      <w:proofErr w:type="spellStart"/>
      <w:r>
        <w:rPr>
          <w:sz w:val="24"/>
          <w:szCs w:val="24"/>
          <w:highlight w:val="white"/>
        </w:rPr>
        <w:t>retroporto</w:t>
      </w:r>
      <w:proofErr w:type="spellEnd"/>
      <w:r>
        <w:rPr>
          <w:sz w:val="24"/>
          <w:szCs w:val="24"/>
          <w:highlight w:val="white"/>
        </w:rPr>
        <w:t xml:space="preserve"> e de acostamento dos portos atuais, a possível construção de novos terminais, e a ampliação e melhoria das vias de escoamento de mercadorias, seja por terra, com ampliação de estradas e ferrovias, seja por mar, aumentando o calado dos canais de acesso (PIERRI ESTADES </w:t>
      </w:r>
      <w:r>
        <w:rPr>
          <w:i/>
          <w:sz w:val="24"/>
          <w:szCs w:val="24"/>
          <w:highlight w:val="white"/>
        </w:rPr>
        <w:t>et al</w:t>
      </w:r>
      <w:r>
        <w:rPr>
          <w:sz w:val="24"/>
          <w:szCs w:val="24"/>
          <w:highlight w:val="white"/>
        </w:rPr>
        <w:t xml:space="preserve">., 2006). Quanto a estes aspectos e a concomitante ampliação dos fundos públicos provenientes dos impostos ligados à atividade portuária, não se pode antecipar se </w:t>
      </w:r>
      <w:proofErr w:type="gramStart"/>
      <w:r>
        <w:rPr>
          <w:sz w:val="24"/>
          <w:szCs w:val="24"/>
          <w:highlight w:val="white"/>
        </w:rPr>
        <w:t>estes serão</w:t>
      </w:r>
      <w:proofErr w:type="gramEnd"/>
      <w:r>
        <w:rPr>
          <w:sz w:val="24"/>
          <w:szCs w:val="24"/>
          <w:highlight w:val="white"/>
        </w:rPr>
        <w:t xml:space="preserve"> revertidos em melhorias para a cidade e a sua população. Pode-se afirmar, todavia, que a vontade política das autoridades estaduais e municipais será chave para a condução da situação e a obtenção de resultados concretos (SOARES, 2009).</w:t>
      </w:r>
    </w:p>
    <w:p w:rsidR="00B94AD9" w:rsidRDefault="00B94AD9" w:rsidP="00B94AD9">
      <w:pPr>
        <w:jc w:val="both"/>
        <w:rPr>
          <w:sz w:val="24"/>
        </w:rPr>
      </w:pPr>
    </w:p>
    <w:p w:rsidR="009C776E" w:rsidRPr="009C776E" w:rsidRDefault="009C776E" w:rsidP="009C776E">
      <w:pPr>
        <w:pStyle w:val="Ttulo1CerroAzul"/>
        <w:tabs>
          <w:tab w:val="clear" w:pos="6528"/>
        </w:tabs>
        <w:ind w:left="0" w:firstLine="0"/>
        <w:jc w:val="left"/>
        <w:rPr>
          <w:caps w:val="0"/>
        </w:rPr>
      </w:pPr>
      <w:r w:rsidRPr="009C776E">
        <w:rPr>
          <w:caps w:val="0"/>
        </w:rPr>
        <w:t>ATIVIDADE PESQUEIRA</w:t>
      </w:r>
    </w:p>
    <w:p w:rsidR="009C776E" w:rsidRDefault="009C776E" w:rsidP="009C776E">
      <w:pPr>
        <w:ind w:firstLine="709"/>
        <w:jc w:val="both"/>
        <w:rPr>
          <w:rFonts w:eastAsia="Calibri"/>
          <w:sz w:val="24"/>
          <w:szCs w:val="24"/>
        </w:rPr>
      </w:pPr>
      <w:r>
        <w:rPr>
          <w:rFonts w:eastAsia="Calibri"/>
          <w:sz w:val="24"/>
          <w:szCs w:val="24"/>
        </w:rPr>
        <w:t>A pesca artesanal é de grande importância econômica e social para à estrutura organizacional das comunidades que habitam a área de estudo. Os diversos aspectos desta atividade podem auxiliar como subsídio no ordenamento da região, bem como a tomada de decisão para os gestores, ajudando na predição de cenários e ações de conservação da biodiversidade e modos de vida locais.</w:t>
      </w:r>
    </w:p>
    <w:p w:rsidR="009C776E" w:rsidRDefault="009C776E" w:rsidP="009C776E">
      <w:pPr>
        <w:ind w:firstLine="708"/>
        <w:jc w:val="both"/>
        <w:rPr>
          <w:rFonts w:eastAsia="Calibri"/>
          <w:sz w:val="24"/>
          <w:szCs w:val="24"/>
        </w:rPr>
      </w:pPr>
      <w:r>
        <w:rPr>
          <w:rFonts w:eastAsia="Calibri"/>
          <w:sz w:val="24"/>
          <w:szCs w:val="24"/>
        </w:rPr>
        <w:lastRenderedPageBreak/>
        <w:t xml:space="preserve">A APA de Guaraqueçaba integra 39 comunidades pesqueiras tradicionais pertencentes aos municípios de Guaraqueçaba e Paranaguá (ANDRIGUETTO, 1999). O Município de Guaraqueçaba possui o registro de 2.129 pescadores, sendo que 39% são mulheres, enquanto Paranaguá possui o registro de 55 pescadores dentro das áreas de abrangência da APA. No Paraná, existem </w:t>
      </w:r>
      <w:proofErr w:type="gramStart"/>
      <w:r>
        <w:rPr>
          <w:rFonts w:eastAsia="Calibri"/>
          <w:sz w:val="24"/>
          <w:szCs w:val="24"/>
        </w:rPr>
        <w:t>cerca de 10.737</w:t>
      </w:r>
      <w:proofErr w:type="gramEnd"/>
      <w:r>
        <w:rPr>
          <w:rFonts w:eastAsia="Calibri"/>
          <w:sz w:val="24"/>
          <w:szCs w:val="24"/>
        </w:rPr>
        <w:t xml:space="preserve"> pescadores profissionais (</w:t>
      </w:r>
      <w:r w:rsidRPr="0020670D">
        <w:rPr>
          <w:rFonts w:eastAsia="Calibri"/>
          <w:sz w:val="24"/>
          <w:szCs w:val="24"/>
        </w:rPr>
        <w:t>SISRGP, 2013</w:t>
      </w:r>
      <w:r>
        <w:rPr>
          <w:rFonts w:eastAsia="Calibri"/>
          <w:sz w:val="24"/>
          <w:szCs w:val="24"/>
        </w:rPr>
        <w:t>). Além das atividades</w:t>
      </w:r>
      <w:r>
        <w:rPr>
          <w:sz w:val="24"/>
          <w:szCs w:val="24"/>
        </w:rPr>
        <w:t xml:space="preserve"> </w:t>
      </w:r>
      <w:r>
        <w:rPr>
          <w:rFonts w:eastAsia="Calibri"/>
          <w:sz w:val="24"/>
          <w:szCs w:val="24"/>
        </w:rPr>
        <w:t xml:space="preserve">pesqueiras classificadas como embarcadas, também merece destaque o extrativismo dos manguezais (PLDM, 2010). </w:t>
      </w:r>
    </w:p>
    <w:p w:rsidR="009C776E" w:rsidRDefault="009C776E" w:rsidP="009C776E">
      <w:pPr>
        <w:ind w:firstLine="708"/>
        <w:jc w:val="both"/>
        <w:rPr>
          <w:rFonts w:eastAsiaTheme="minorHAnsi"/>
          <w:sz w:val="24"/>
          <w:szCs w:val="24"/>
        </w:rPr>
      </w:pPr>
      <w:r>
        <w:rPr>
          <w:sz w:val="24"/>
          <w:szCs w:val="24"/>
        </w:rPr>
        <w:t xml:space="preserve">A região é conhecida pela grande influência das comunidades tradicionais, e suas atividades de pesca, aquicultura e extrativismo de manguezais proporcionaram diversas modificações no ecossistema e gestão ao longo do tempo.  Na fase inicial das atividades, os pescadores possuíam poucos petrechos, que consistiam em pequenas redes rudimentares, e a interação com as zonas urbanas era insignificante, com foco maior na subsistência. </w:t>
      </w:r>
    </w:p>
    <w:p w:rsidR="009C776E" w:rsidRDefault="009C776E" w:rsidP="009C776E">
      <w:pPr>
        <w:ind w:firstLine="708"/>
        <w:jc w:val="both"/>
        <w:rPr>
          <w:rFonts w:eastAsia="Calibri"/>
          <w:sz w:val="24"/>
          <w:szCs w:val="24"/>
        </w:rPr>
      </w:pPr>
      <w:r>
        <w:rPr>
          <w:rFonts w:eastAsia="Calibri"/>
          <w:sz w:val="24"/>
          <w:szCs w:val="24"/>
        </w:rPr>
        <w:t xml:space="preserve">As comunidades </w:t>
      </w:r>
      <w:proofErr w:type="gramStart"/>
      <w:r>
        <w:rPr>
          <w:rFonts w:eastAsia="Calibri"/>
          <w:sz w:val="24"/>
          <w:szCs w:val="24"/>
        </w:rPr>
        <w:t>diferem-se</w:t>
      </w:r>
      <w:proofErr w:type="gramEnd"/>
      <w:r>
        <w:rPr>
          <w:rFonts w:eastAsia="Calibri"/>
          <w:sz w:val="24"/>
          <w:szCs w:val="24"/>
        </w:rPr>
        <w:t xml:space="preserve"> entre si quanto às espécies alvo e esforço de captura para cada espécie, porém possuem características comuns que as identificam como tradicionais e de pesca em pequena escala (MAFRA, 2012; FARACO, 2012; MIRANDA, 2004). No geral, a pesca dentro da Baía de Paranaguá é classificada como sendo artesanal, não havendo presença da pesca industrial de forma significativa (ANDRIGUETTO, 1999; MALHEIROS, 2008). No que diz respeito à economia, os valores variam de 30 a 90</w:t>
      </w:r>
      <w:r w:rsidR="00B814F0">
        <w:rPr>
          <w:rFonts w:eastAsia="Calibri"/>
          <w:sz w:val="24"/>
          <w:szCs w:val="24"/>
        </w:rPr>
        <w:t xml:space="preserve">% da renda total das comunidades </w:t>
      </w:r>
      <w:r>
        <w:rPr>
          <w:rFonts w:eastAsia="Calibri"/>
          <w:sz w:val="24"/>
          <w:szCs w:val="24"/>
        </w:rPr>
        <w:t>associada</w:t>
      </w:r>
      <w:r w:rsidR="00B814F0">
        <w:rPr>
          <w:rFonts w:eastAsia="Calibri"/>
          <w:sz w:val="24"/>
          <w:szCs w:val="24"/>
        </w:rPr>
        <w:t>s</w:t>
      </w:r>
      <w:r>
        <w:rPr>
          <w:rFonts w:eastAsia="Calibri"/>
          <w:sz w:val="24"/>
          <w:szCs w:val="24"/>
        </w:rPr>
        <w:t xml:space="preserve"> à pesca (FARACO 2012; PAULA, 2014). Associada a outras fontes de renda que vem ganhando espaço, a pesca está presente no turismo de base comunitária, servindo à cadeia produtiva e como fator importante na segurança alimentar para a população local (FARACO, 2012).</w:t>
      </w:r>
    </w:p>
    <w:p w:rsidR="009C776E" w:rsidRDefault="009C776E" w:rsidP="009C776E">
      <w:pPr>
        <w:ind w:firstLine="708"/>
        <w:jc w:val="both"/>
        <w:rPr>
          <w:rFonts w:eastAsiaTheme="minorHAnsi"/>
          <w:sz w:val="24"/>
          <w:szCs w:val="24"/>
        </w:rPr>
      </w:pPr>
      <w:r>
        <w:rPr>
          <w:sz w:val="24"/>
          <w:szCs w:val="24"/>
        </w:rPr>
        <w:t xml:space="preserve">Na fase inicial das atividades, os pescadores possuíam poucos petrechos, que consistiam em pequenas redes rudimentares, e a interação com as zonas urbanas era insignificante, com foco maior na subsistência. A chegada de novas famílias estimulou a interação com o mercado regional, ainda que restrito aos arredores da comunidade, refletindo-se numa revolução na estrutura organizacional comunitária. As disposições financeiras dependiam dos atravessadores e comerciantes que tinham canoas, para que os recursos pudessem chegar aos grandes centros. Neste período, as técnicas de pesca não eram consideradas de </w:t>
      </w:r>
      <w:r>
        <w:rPr>
          <w:sz w:val="24"/>
          <w:szCs w:val="24"/>
        </w:rPr>
        <w:lastRenderedPageBreak/>
        <w:t xml:space="preserve">grande impacto, pois não havia cargas suficientes para que os pescadores pudessem se manter muitos dias na água e abrangerem uma longa extensão de área. </w:t>
      </w:r>
    </w:p>
    <w:p w:rsidR="009C776E" w:rsidRDefault="009C776E" w:rsidP="009C776E">
      <w:pPr>
        <w:jc w:val="both"/>
        <w:rPr>
          <w:sz w:val="24"/>
          <w:szCs w:val="24"/>
        </w:rPr>
      </w:pPr>
      <w:r>
        <w:rPr>
          <w:sz w:val="24"/>
          <w:szCs w:val="24"/>
        </w:rPr>
        <w:tab/>
        <w:t xml:space="preserve">O camarão era pescado com uma massa de pescado conhecida como engodo e o caranguejo era retirado manualmente, porém com pouca significância em relação ao montante anual (ANDRADE, 2015). Com o iminente crescimento urbano na região no início do século XXI, a atividade pesqueira comercial foi impulsionada, principalmente no verão, e o número de embarcações teve um relativo aumento.  </w:t>
      </w:r>
    </w:p>
    <w:p w:rsidR="009C776E" w:rsidRDefault="009C776E" w:rsidP="009C776E">
      <w:pPr>
        <w:ind w:firstLine="708"/>
        <w:jc w:val="both"/>
        <w:rPr>
          <w:sz w:val="24"/>
          <w:szCs w:val="24"/>
        </w:rPr>
      </w:pPr>
      <w:r>
        <w:rPr>
          <w:sz w:val="24"/>
          <w:szCs w:val="24"/>
        </w:rPr>
        <w:t>Em consequência da comercialização, novos artifícios foram surgindo. O caranguejo começou a ser capturado pela técnica do lacinho, que consiste em uma armadilha de pequenas fitas plásticas colocadas ao redor das tocas, fazendo com que o animal fique emaranhado e vivo para a retirada pelos pescadores (MAFRA, 2012). Apesar da crescente utilização desta nova técnica para captura do caranguejo, as principais atividades de sustento eram restritas à pesca de peixes estuarinos e o cultivo de camarão.</w:t>
      </w:r>
    </w:p>
    <w:p w:rsidR="009C776E" w:rsidRDefault="009C776E" w:rsidP="009C776E">
      <w:pPr>
        <w:jc w:val="both"/>
        <w:rPr>
          <w:sz w:val="24"/>
          <w:szCs w:val="24"/>
        </w:rPr>
      </w:pPr>
      <w:r>
        <w:rPr>
          <w:sz w:val="24"/>
          <w:szCs w:val="24"/>
        </w:rPr>
        <w:tab/>
        <w:t xml:space="preserve">Em 2004, esse panorama teve uma alteração brusca com a explosão do navio petroleiro </w:t>
      </w:r>
      <w:proofErr w:type="spellStart"/>
      <w:r>
        <w:rPr>
          <w:sz w:val="24"/>
          <w:szCs w:val="24"/>
        </w:rPr>
        <w:t>Vicuña</w:t>
      </w:r>
      <w:proofErr w:type="spellEnd"/>
      <w:r>
        <w:rPr>
          <w:sz w:val="24"/>
          <w:szCs w:val="24"/>
        </w:rPr>
        <w:t xml:space="preserve">, que estava alocado no terminal do Porto de Paranaguá e liberou 1.416 toneladas de óleo no ambiente (SOUZA, 2007), afetando intensamente os estoques pesqueiros. Desta forma, os recursos de manguezais começaram a ser mais explorados, pois possuem maior capacidade de resiliência e tendem a voltar a seus estados naturais de forma mais eficiente. </w:t>
      </w:r>
    </w:p>
    <w:p w:rsidR="009C776E" w:rsidRDefault="009C776E" w:rsidP="009C776E">
      <w:pPr>
        <w:ind w:firstLine="708"/>
        <w:jc w:val="both"/>
        <w:rPr>
          <w:rFonts w:eastAsia="Calibri"/>
          <w:sz w:val="24"/>
          <w:szCs w:val="24"/>
        </w:rPr>
      </w:pPr>
      <w:r>
        <w:rPr>
          <w:sz w:val="24"/>
          <w:szCs w:val="24"/>
        </w:rPr>
        <w:t>Atualmente, n</w:t>
      </w:r>
      <w:r>
        <w:rPr>
          <w:rFonts w:eastAsia="Calibri"/>
          <w:sz w:val="24"/>
          <w:szCs w:val="24"/>
        </w:rPr>
        <w:t>a APA de Guaraqueçaba, há a exploração de 31 espécies principais com valor comercial, sendo elas: arraia (</w:t>
      </w:r>
      <w:r>
        <w:rPr>
          <w:rFonts w:eastAsia="Calibri"/>
          <w:i/>
          <w:sz w:val="24"/>
          <w:szCs w:val="24"/>
        </w:rPr>
        <w:t xml:space="preserve">Manta </w:t>
      </w:r>
      <w:proofErr w:type="spellStart"/>
      <w:r>
        <w:rPr>
          <w:rFonts w:eastAsia="Calibri"/>
          <w:i/>
          <w:sz w:val="24"/>
          <w:szCs w:val="24"/>
        </w:rPr>
        <w:t>birostris</w:t>
      </w:r>
      <w:proofErr w:type="spellEnd"/>
      <w:r>
        <w:rPr>
          <w:rFonts w:eastAsia="Calibri"/>
          <w:sz w:val="24"/>
          <w:szCs w:val="24"/>
        </w:rPr>
        <w:t xml:space="preserve">), </w:t>
      </w:r>
      <w:proofErr w:type="spellStart"/>
      <w:r>
        <w:rPr>
          <w:rFonts w:eastAsia="Calibri"/>
          <w:sz w:val="24"/>
          <w:szCs w:val="24"/>
        </w:rPr>
        <w:t>bacucu</w:t>
      </w:r>
      <w:proofErr w:type="spellEnd"/>
      <w:r>
        <w:rPr>
          <w:rFonts w:eastAsia="Calibri"/>
          <w:sz w:val="24"/>
          <w:szCs w:val="24"/>
        </w:rPr>
        <w:t xml:space="preserve"> (</w:t>
      </w:r>
      <w:proofErr w:type="spellStart"/>
      <w:r>
        <w:rPr>
          <w:rFonts w:eastAsia="Calibri"/>
          <w:i/>
          <w:sz w:val="24"/>
          <w:szCs w:val="24"/>
        </w:rPr>
        <w:t>Mytella</w:t>
      </w:r>
      <w:proofErr w:type="spellEnd"/>
      <w:r>
        <w:rPr>
          <w:rFonts w:eastAsia="Calibri"/>
          <w:i/>
          <w:sz w:val="24"/>
          <w:szCs w:val="24"/>
        </w:rPr>
        <w:t xml:space="preserve"> </w:t>
      </w:r>
      <w:proofErr w:type="spellStart"/>
      <w:r>
        <w:rPr>
          <w:rFonts w:eastAsia="Calibri"/>
          <w:i/>
          <w:sz w:val="24"/>
          <w:szCs w:val="24"/>
        </w:rPr>
        <w:t>charruana</w:t>
      </w:r>
      <w:proofErr w:type="spellEnd"/>
      <w:r>
        <w:rPr>
          <w:rFonts w:eastAsia="Calibri"/>
          <w:sz w:val="24"/>
          <w:szCs w:val="24"/>
        </w:rPr>
        <w:t>), bagre amarelo (</w:t>
      </w:r>
      <w:proofErr w:type="spellStart"/>
      <w:r>
        <w:rPr>
          <w:i/>
          <w:color w:val="000000" w:themeColor="text1"/>
          <w:sz w:val="24"/>
          <w:szCs w:val="24"/>
          <w:shd w:val="clear" w:color="auto" w:fill="FFFFFF"/>
        </w:rPr>
        <w:t>Cathorops</w:t>
      </w:r>
      <w:proofErr w:type="spellEnd"/>
      <w:r>
        <w:rPr>
          <w:i/>
          <w:color w:val="000000" w:themeColor="text1"/>
          <w:sz w:val="24"/>
          <w:szCs w:val="24"/>
          <w:shd w:val="clear" w:color="auto" w:fill="FFFFFF"/>
        </w:rPr>
        <w:t xml:space="preserve"> </w:t>
      </w:r>
      <w:proofErr w:type="spellStart"/>
      <w:r>
        <w:rPr>
          <w:i/>
          <w:color w:val="000000" w:themeColor="text1"/>
          <w:sz w:val="24"/>
          <w:szCs w:val="24"/>
          <w:shd w:val="clear" w:color="auto" w:fill="FFFFFF"/>
        </w:rPr>
        <w:t>spixii</w:t>
      </w:r>
      <w:proofErr w:type="spellEnd"/>
      <w:r>
        <w:rPr>
          <w:rFonts w:eastAsia="Calibri"/>
          <w:sz w:val="24"/>
          <w:szCs w:val="24"/>
        </w:rPr>
        <w:t>), bagre cangatá (</w:t>
      </w:r>
      <w:proofErr w:type="spellStart"/>
      <w:r>
        <w:rPr>
          <w:rFonts w:eastAsia="Calibri"/>
          <w:i/>
          <w:sz w:val="24"/>
          <w:szCs w:val="24"/>
        </w:rPr>
        <w:t>Aspistor</w:t>
      </w:r>
      <w:proofErr w:type="spellEnd"/>
      <w:r>
        <w:rPr>
          <w:rFonts w:eastAsia="Calibri"/>
          <w:i/>
          <w:sz w:val="24"/>
          <w:szCs w:val="24"/>
        </w:rPr>
        <w:t xml:space="preserve"> </w:t>
      </w:r>
      <w:proofErr w:type="spellStart"/>
      <w:r>
        <w:rPr>
          <w:rFonts w:eastAsia="Calibri"/>
          <w:i/>
          <w:sz w:val="24"/>
          <w:szCs w:val="24"/>
        </w:rPr>
        <w:t>luniscutis</w:t>
      </w:r>
      <w:proofErr w:type="spellEnd"/>
      <w:r>
        <w:rPr>
          <w:rFonts w:eastAsia="Calibri"/>
          <w:sz w:val="24"/>
          <w:szCs w:val="24"/>
        </w:rPr>
        <w:t>), bagre guri (</w:t>
      </w:r>
      <w:proofErr w:type="spellStart"/>
      <w:r>
        <w:rPr>
          <w:i/>
          <w:iCs/>
          <w:color w:val="000000" w:themeColor="text1"/>
          <w:sz w:val="24"/>
          <w:szCs w:val="24"/>
          <w:shd w:val="clear" w:color="auto" w:fill="FFFFFF"/>
        </w:rPr>
        <w:fldChar w:fldCharType="begin"/>
      </w:r>
      <w:r>
        <w:rPr>
          <w:i/>
          <w:iCs/>
          <w:color w:val="000000" w:themeColor="text1"/>
          <w:sz w:val="24"/>
          <w:szCs w:val="24"/>
          <w:shd w:val="clear" w:color="auto" w:fill="FFFFFF"/>
        </w:rPr>
        <w:instrText xml:space="preserve"> HYPERLINK "https://pt.wikipedia.org/w/index.php?title=Sciadeichthys_luniscutis&amp;action=edit&amp;redlink=1" \o "Sciadeichthys luniscutis (página não existe)" </w:instrText>
      </w:r>
      <w:r>
        <w:rPr>
          <w:i/>
          <w:iCs/>
          <w:color w:val="000000" w:themeColor="text1"/>
          <w:sz w:val="24"/>
          <w:szCs w:val="24"/>
          <w:shd w:val="clear" w:color="auto" w:fill="FFFFFF"/>
        </w:rPr>
        <w:fldChar w:fldCharType="separate"/>
      </w:r>
      <w:r>
        <w:rPr>
          <w:rStyle w:val="Hyperlink"/>
          <w:i/>
          <w:iCs/>
          <w:color w:val="000000" w:themeColor="text1"/>
          <w:sz w:val="24"/>
          <w:szCs w:val="24"/>
          <w:shd w:val="clear" w:color="auto" w:fill="FFFFFF"/>
        </w:rPr>
        <w:t>Sciadeichthys</w:t>
      </w:r>
      <w:proofErr w:type="spellEnd"/>
      <w:r>
        <w:rPr>
          <w:rStyle w:val="Hyperlink"/>
          <w:i/>
          <w:iCs/>
          <w:color w:val="000000" w:themeColor="text1"/>
          <w:sz w:val="24"/>
          <w:szCs w:val="24"/>
          <w:shd w:val="clear" w:color="auto" w:fill="FFFFFF"/>
        </w:rPr>
        <w:t xml:space="preserve"> </w:t>
      </w:r>
      <w:proofErr w:type="spellStart"/>
      <w:r>
        <w:rPr>
          <w:rStyle w:val="Hyperlink"/>
          <w:i/>
          <w:iCs/>
          <w:color w:val="000000" w:themeColor="text1"/>
          <w:sz w:val="24"/>
          <w:szCs w:val="24"/>
          <w:shd w:val="clear" w:color="auto" w:fill="FFFFFF"/>
        </w:rPr>
        <w:t>luniscutis</w:t>
      </w:r>
      <w:proofErr w:type="spellEnd"/>
      <w:r>
        <w:rPr>
          <w:i/>
          <w:iCs/>
          <w:color w:val="000000" w:themeColor="text1"/>
          <w:sz w:val="24"/>
          <w:szCs w:val="24"/>
          <w:shd w:val="clear" w:color="auto" w:fill="FFFFFF"/>
        </w:rPr>
        <w:fldChar w:fldCharType="end"/>
      </w:r>
      <w:r>
        <w:rPr>
          <w:iCs/>
          <w:color w:val="000000" w:themeColor="text1"/>
          <w:sz w:val="24"/>
          <w:szCs w:val="24"/>
          <w:shd w:val="clear" w:color="auto" w:fill="FFFFFF"/>
        </w:rPr>
        <w:t>)</w:t>
      </w:r>
      <w:r>
        <w:rPr>
          <w:rFonts w:eastAsia="Calibri"/>
          <w:sz w:val="24"/>
          <w:szCs w:val="24"/>
        </w:rPr>
        <w:t>, baiacu (</w:t>
      </w:r>
      <w:proofErr w:type="spellStart"/>
      <w:r>
        <w:rPr>
          <w:rFonts w:eastAsia="Arial"/>
          <w:i/>
          <w:sz w:val="24"/>
          <w:szCs w:val="24"/>
        </w:rPr>
        <w:t>Cyclichthys</w:t>
      </w:r>
      <w:proofErr w:type="spellEnd"/>
      <w:r>
        <w:rPr>
          <w:rFonts w:eastAsia="Arial"/>
          <w:i/>
          <w:sz w:val="24"/>
          <w:szCs w:val="24"/>
        </w:rPr>
        <w:t xml:space="preserve"> </w:t>
      </w:r>
      <w:proofErr w:type="spellStart"/>
      <w:r>
        <w:rPr>
          <w:rFonts w:eastAsia="Arial"/>
          <w:i/>
          <w:sz w:val="24"/>
          <w:szCs w:val="24"/>
        </w:rPr>
        <w:t>spinosus</w:t>
      </w:r>
      <w:proofErr w:type="spellEnd"/>
      <w:r>
        <w:rPr>
          <w:rFonts w:eastAsia="Calibri"/>
          <w:sz w:val="24"/>
          <w:szCs w:val="24"/>
        </w:rPr>
        <w:t>), cação (</w:t>
      </w:r>
      <w:proofErr w:type="spellStart"/>
      <w:r>
        <w:rPr>
          <w:i/>
          <w:color w:val="000000" w:themeColor="text1"/>
          <w:sz w:val="24"/>
          <w:szCs w:val="24"/>
          <w:shd w:val="clear" w:color="auto" w:fill="FFFFFF"/>
        </w:rPr>
        <w:t>Carcarhinus</w:t>
      </w:r>
      <w:proofErr w:type="spellEnd"/>
      <w:r>
        <w:rPr>
          <w:i/>
          <w:color w:val="000000" w:themeColor="text1"/>
          <w:sz w:val="24"/>
          <w:szCs w:val="24"/>
          <w:shd w:val="clear" w:color="auto" w:fill="FFFFFF"/>
        </w:rPr>
        <w:t xml:space="preserve"> </w:t>
      </w:r>
      <w:proofErr w:type="spellStart"/>
      <w:r>
        <w:rPr>
          <w:i/>
          <w:color w:val="000000" w:themeColor="text1"/>
          <w:sz w:val="24"/>
          <w:szCs w:val="24"/>
          <w:shd w:val="clear" w:color="auto" w:fill="FFFFFF"/>
        </w:rPr>
        <w:t>spp</w:t>
      </w:r>
      <w:proofErr w:type="spellEnd"/>
      <w:r>
        <w:rPr>
          <w:rFonts w:eastAsia="Calibri"/>
          <w:sz w:val="24"/>
          <w:szCs w:val="24"/>
        </w:rPr>
        <w:t>), calafate, camarão branco (</w:t>
      </w:r>
      <w:proofErr w:type="spellStart"/>
      <w:r>
        <w:rPr>
          <w:i/>
          <w:iCs/>
          <w:sz w:val="24"/>
          <w:szCs w:val="24"/>
        </w:rPr>
        <w:t>Litopenaeus</w:t>
      </w:r>
      <w:proofErr w:type="spellEnd"/>
      <w:r>
        <w:rPr>
          <w:i/>
          <w:iCs/>
          <w:sz w:val="24"/>
          <w:szCs w:val="24"/>
        </w:rPr>
        <w:t xml:space="preserve"> </w:t>
      </w:r>
      <w:proofErr w:type="spellStart"/>
      <w:r>
        <w:rPr>
          <w:i/>
          <w:iCs/>
          <w:sz w:val="24"/>
          <w:szCs w:val="24"/>
        </w:rPr>
        <w:t>schimitti</w:t>
      </w:r>
      <w:proofErr w:type="spellEnd"/>
      <w:r>
        <w:rPr>
          <w:i/>
          <w:iCs/>
          <w:sz w:val="24"/>
          <w:szCs w:val="24"/>
        </w:rPr>
        <w:t>)</w:t>
      </w:r>
      <w:r>
        <w:rPr>
          <w:rFonts w:eastAsia="Calibri"/>
          <w:sz w:val="24"/>
          <w:szCs w:val="24"/>
        </w:rPr>
        <w:t>, camarão rosa (</w:t>
      </w:r>
      <w:proofErr w:type="spellStart"/>
      <w:r>
        <w:rPr>
          <w:i/>
          <w:sz w:val="24"/>
          <w:szCs w:val="24"/>
        </w:rPr>
        <w:t>Farfantepenaeus</w:t>
      </w:r>
      <w:proofErr w:type="spellEnd"/>
      <w:r>
        <w:rPr>
          <w:i/>
          <w:sz w:val="24"/>
          <w:szCs w:val="24"/>
        </w:rPr>
        <w:t xml:space="preserve"> </w:t>
      </w:r>
      <w:proofErr w:type="spellStart"/>
      <w:r>
        <w:rPr>
          <w:i/>
          <w:sz w:val="24"/>
          <w:szCs w:val="24"/>
        </w:rPr>
        <w:t>paulensis</w:t>
      </w:r>
      <w:proofErr w:type="spellEnd"/>
      <w:r>
        <w:rPr>
          <w:i/>
          <w:sz w:val="24"/>
          <w:szCs w:val="24"/>
        </w:rPr>
        <w:t>)</w:t>
      </w:r>
      <w:r>
        <w:rPr>
          <w:rFonts w:eastAsia="Calibri"/>
          <w:sz w:val="24"/>
          <w:szCs w:val="24"/>
        </w:rPr>
        <w:t>, camarão sete-barbas (</w:t>
      </w:r>
      <w:proofErr w:type="spellStart"/>
      <w:r>
        <w:rPr>
          <w:i/>
          <w:color w:val="000000"/>
          <w:sz w:val="24"/>
          <w:szCs w:val="24"/>
        </w:rPr>
        <w:t>Xiphopenaeus</w:t>
      </w:r>
      <w:proofErr w:type="spellEnd"/>
      <w:r>
        <w:rPr>
          <w:i/>
          <w:color w:val="000000"/>
          <w:sz w:val="24"/>
          <w:szCs w:val="24"/>
        </w:rPr>
        <w:t xml:space="preserve"> </w:t>
      </w:r>
      <w:proofErr w:type="spellStart"/>
      <w:r>
        <w:rPr>
          <w:i/>
          <w:color w:val="000000"/>
          <w:sz w:val="24"/>
          <w:szCs w:val="24"/>
        </w:rPr>
        <w:t>kroyeri</w:t>
      </w:r>
      <w:proofErr w:type="spellEnd"/>
      <w:r>
        <w:rPr>
          <w:color w:val="000000"/>
          <w:sz w:val="24"/>
          <w:szCs w:val="24"/>
        </w:rPr>
        <w:t>)</w:t>
      </w:r>
      <w:r>
        <w:rPr>
          <w:rFonts w:eastAsia="Calibri"/>
          <w:sz w:val="24"/>
          <w:szCs w:val="24"/>
        </w:rPr>
        <w:t>, caranguejo uçá (</w:t>
      </w:r>
      <w:proofErr w:type="spellStart"/>
      <w:r>
        <w:rPr>
          <w:rFonts w:eastAsia="Calibri"/>
          <w:i/>
          <w:sz w:val="24"/>
          <w:szCs w:val="24"/>
        </w:rPr>
        <w:t>Ucides</w:t>
      </w:r>
      <w:proofErr w:type="spellEnd"/>
      <w:r>
        <w:rPr>
          <w:rFonts w:eastAsia="Calibri"/>
          <w:i/>
          <w:sz w:val="24"/>
          <w:szCs w:val="24"/>
        </w:rPr>
        <w:t xml:space="preserve"> </w:t>
      </w:r>
      <w:proofErr w:type="spellStart"/>
      <w:r>
        <w:rPr>
          <w:rFonts w:eastAsia="Calibri"/>
          <w:i/>
          <w:sz w:val="24"/>
          <w:szCs w:val="24"/>
        </w:rPr>
        <w:t>cordatus</w:t>
      </w:r>
      <w:proofErr w:type="spellEnd"/>
      <w:r>
        <w:rPr>
          <w:rFonts w:eastAsia="Calibri"/>
          <w:sz w:val="24"/>
          <w:szCs w:val="24"/>
        </w:rPr>
        <w:t>), corvina (</w:t>
      </w:r>
      <w:proofErr w:type="spellStart"/>
      <w:r>
        <w:rPr>
          <w:color w:val="000000" w:themeColor="text1"/>
          <w:sz w:val="24"/>
          <w:szCs w:val="24"/>
        </w:rPr>
        <w:fldChar w:fldCharType="begin"/>
      </w:r>
      <w:r>
        <w:rPr>
          <w:color w:val="000000" w:themeColor="text1"/>
          <w:sz w:val="24"/>
          <w:szCs w:val="24"/>
        </w:rPr>
        <w:instrText xml:space="preserve"> HYPERLINK "https://pt.wikipedia.org/wiki/Micropogonias_furnieri" \o "Micropogonias furnieri" </w:instrText>
      </w:r>
      <w:r>
        <w:rPr>
          <w:color w:val="000000" w:themeColor="text1"/>
          <w:sz w:val="24"/>
          <w:szCs w:val="24"/>
        </w:rPr>
        <w:fldChar w:fldCharType="separate"/>
      </w:r>
      <w:r>
        <w:rPr>
          <w:rStyle w:val="Hyperlink"/>
          <w:i/>
          <w:iCs/>
          <w:color w:val="000000" w:themeColor="text1"/>
          <w:sz w:val="24"/>
          <w:szCs w:val="24"/>
          <w:shd w:val="clear" w:color="auto" w:fill="FFFFFF"/>
        </w:rPr>
        <w:t>Micropogonias</w:t>
      </w:r>
      <w:proofErr w:type="spellEnd"/>
      <w:r>
        <w:rPr>
          <w:rStyle w:val="Hyperlink"/>
          <w:i/>
          <w:iCs/>
          <w:color w:val="000000" w:themeColor="text1"/>
          <w:sz w:val="24"/>
          <w:szCs w:val="24"/>
          <w:shd w:val="clear" w:color="auto" w:fill="FFFFFF"/>
        </w:rPr>
        <w:t xml:space="preserve"> </w:t>
      </w:r>
      <w:proofErr w:type="spellStart"/>
      <w:r>
        <w:rPr>
          <w:rStyle w:val="Hyperlink"/>
          <w:i/>
          <w:iCs/>
          <w:color w:val="000000" w:themeColor="text1"/>
          <w:sz w:val="24"/>
          <w:szCs w:val="24"/>
          <w:shd w:val="clear" w:color="auto" w:fill="FFFFFF"/>
        </w:rPr>
        <w:t>furnieri</w:t>
      </w:r>
      <w:proofErr w:type="spellEnd"/>
      <w:r>
        <w:rPr>
          <w:color w:val="000000" w:themeColor="text1"/>
          <w:sz w:val="24"/>
          <w:szCs w:val="24"/>
        </w:rPr>
        <w:fldChar w:fldCharType="end"/>
      </w:r>
      <w:r>
        <w:rPr>
          <w:color w:val="252525"/>
          <w:sz w:val="24"/>
          <w:szCs w:val="24"/>
          <w:shd w:val="clear" w:color="auto" w:fill="FFFFFF"/>
        </w:rPr>
        <w:t>)</w:t>
      </w:r>
      <w:r>
        <w:rPr>
          <w:rFonts w:eastAsia="Calibri"/>
          <w:sz w:val="24"/>
          <w:szCs w:val="24"/>
        </w:rPr>
        <w:t>, linguado (</w:t>
      </w:r>
      <w:proofErr w:type="spellStart"/>
      <w:r>
        <w:rPr>
          <w:i/>
          <w:iCs/>
          <w:color w:val="000000" w:themeColor="text1"/>
          <w:sz w:val="24"/>
          <w:szCs w:val="24"/>
          <w:shd w:val="clear" w:color="auto" w:fill="FFFFFF"/>
        </w:rPr>
        <w:fldChar w:fldCharType="begin"/>
      </w:r>
      <w:r>
        <w:rPr>
          <w:i/>
          <w:iCs/>
          <w:color w:val="000000" w:themeColor="text1"/>
          <w:sz w:val="24"/>
          <w:szCs w:val="24"/>
          <w:shd w:val="clear" w:color="auto" w:fill="FFFFFF"/>
        </w:rPr>
        <w:instrText xml:space="preserve"> HYPERLINK "https://pt.wikipedia.org/w/index.php?title=Pseudopleuronectes_americanus&amp;action=edit&amp;redlink=1" \o "Pseudopleuronectes americanus (página não existe)" </w:instrText>
      </w:r>
      <w:r>
        <w:rPr>
          <w:i/>
          <w:iCs/>
          <w:color w:val="000000" w:themeColor="text1"/>
          <w:sz w:val="24"/>
          <w:szCs w:val="24"/>
          <w:shd w:val="clear" w:color="auto" w:fill="FFFFFF"/>
        </w:rPr>
        <w:fldChar w:fldCharType="separate"/>
      </w:r>
      <w:r>
        <w:rPr>
          <w:rStyle w:val="Hyperlink"/>
          <w:i/>
          <w:iCs/>
          <w:color w:val="000000" w:themeColor="text1"/>
          <w:sz w:val="24"/>
          <w:szCs w:val="24"/>
          <w:shd w:val="clear" w:color="auto" w:fill="FFFFFF"/>
        </w:rPr>
        <w:t>Pseudopleuronectes</w:t>
      </w:r>
      <w:proofErr w:type="spellEnd"/>
      <w:r>
        <w:rPr>
          <w:rStyle w:val="Hyperlink"/>
          <w:i/>
          <w:iCs/>
          <w:color w:val="000000" w:themeColor="text1"/>
          <w:sz w:val="24"/>
          <w:szCs w:val="24"/>
          <w:shd w:val="clear" w:color="auto" w:fill="FFFFFF"/>
        </w:rPr>
        <w:t xml:space="preserve"> </w:t>
      </w:r>
      <w:proofErr w:type="spellStart"/>
      <w:r>
        <w:rPr>
          <w:rStyle w:val="Hyperlink"/>
          <w:i/>
          <w:iCs/>
          <w:color w:val="000000" w:themeColor="text1"/>
          <w:sz w:val="24"/>
          <w:szCs w:val="24"/>
          <w:shd w:val="clear" w:color="auto" w:fill="FFFFFF"/>
        </w:rPr>
        <w:t>americanus</w:t>
      </w:r>
      <w:proofErr w:type="spellEnd"/>
      <w:r>
        <w:rPr>
          <w:i/>
          <w:iCs/>
          <w:color w:val="000000" w:themeColor="text1"/>
          <w:sz w:val="24"/>
          <w:szCs w:val="24"/>
          <w:shd w:val="clear" w:color="auto" w:fill="FFFFFF"/>
        </w:rPr>
        <w:fldChar w:fldCharType="end"/>
      </w:r>
      <w:r>
        <w:rPr>
          <w:iCs/>
          <w:color w:val="000000" w:themeColor="text1"/>
          <w:sz w:val="24"/>
          <w:szCs w:val="24"/>
          <w:shd w:val="clear" w:color="auto" w:fill="FFFFFF"/>
        </w:rPr>
        <w:t>)</w:t>
      </w:r>
      <w:r>
        <w:rPr>
          <w:rFonts w:eastAsia="Calibri"/>
          <w:sz w:val="24"/>
          <w:szCs w:val="24"/>
        </w:rPr>
        <w:t>, manjuba (</w:t>
      </w:r>
      <w:proofErr w:type="spellStart"/>
      <w:r>
        <w:rPr>
          <w:i/>
          <w:iCs/>
          <w:color w:val="000000" w:themeColor="text1"/>
          <w:sz w:val="24"/>
          <w:szCs w:val="24"/>
          <w:shd w:val="clear" w:color="auto" w:fill="FFFFFF"/>
        </w:rPr>
        <w:t>Xenomelaniris</w:t>
      </w:r>
      <w:proofErr w:type="spellEnd"/>
      <w:r>
        <w:rPr>
          <w:i/>
          <w:iCs/>
          <w:color w:val="000000" w:themeColor="text1"/>
          <w:sz w:val="24"/>
          <w:szCs w:val="24"/>
          <w:shd w:val="clear" w:color="auto" w:fill="FFFFFF"/>
        </w:rPr>
        <w:t xml:space="preserve"> brasiliensis</w:t>
      </w:r>
      <w:r>
        <w:rPr>
          <w:iCs/>
          <w:color w:val="000000" w:themeColor="text1"/>
          <w:sz w:val="24"/>
          <w:szCs w:val="24"/>
          <w:shd w:val="clear" w:color="auto" w:fill="FFFFFF"/>
        </w:rPr>
        <w:t>)</w:t>
      </w:r>
      <w:r>
        <w:rPr>
          <w:rFonts w:eastAsia="Calibri"/>
          <w:sz w:val="24"/>
          <w:szCs w:val="24"/>
        </w:rPr>
        <w:t>, miraguaia (</w:t>
      </w:r>
      <w:proofErr w:type="spellStart"/>
      <w:r>
        <w:rPr>
          <w:i/>
          <w:color w:val="000000" w:themeColor="text1"/>
          <w:sz w:val="24"/>
          <w:szCs w:val="24"/>
          <w:shd w:val="clear" w:color="auto" w:fill="FFFFFF"/>
        </w:rPr>
        <w:t>Pogonias</w:t>
      </w:r>
      <w:proofErr w:type="spellEnd"/>
      <w:r>
        <w:rPr>
          <w:i/>
          <w:color w:val="000000" w:themeColor="text1"/>
          <w:sz w:val="24"/>
          <w:szCs w:val="24"/>
          <w:shd w:val="clear" w:color="auto" w:fill="FFFFFF"/>
        </w:rPr>
        <w:t xml:space="preserve"> </w:t>
      </w:r>
      <w:proofErr w:type="spellStart"/>
      <w:r>
        <w:rPr>
          <w:i/>
          <w:color w:val="000000" w:themeColor="text1"/>
          <w:sz w:val="24"/>
          <w:szCs w:val="24"/>
          <w:shd w:val="clear" w:color="auto" w:fill="FFFFFF"/>
        </w:rPr>
        <w:t>cromis</w:t>
      </w:r>
      <w:proofErr w:type="spellEnd"/>
      <w:r>
        <w:rPr>
          <w:color w:val="2D2D2D"/>
          <w:sz w:val="24"/>
          <w:szCs w:val="24"/>
          <w:shd w:val="clear" w:color="auto" w:fill="FFFFFF"/>
        </w:rPr>
        <w:t>)</w:t>
      </w:r>
      <w:r>
        <w:rPr>
          <w:rFonts w:eastAsia="Calibri"/>
          <w:sz w:val="24"/>
          <w:szCs w:val="24"/>
        </w:rPr>
        <w:t>, ostra do mangue (</w:t>
      </w:r>
      <w:proofErr w:type="spellStart"/>
      <w:r>
        <w:rPr>
          <w:i/>
          <w:iCs/>
          <w:sz w:val="24"/>
          <w:szCs w:val="24"/>
        </w:rPr>
        <w:t>Crassostrea</w:t>
      </w:r>
      <w:proofErr w:type="spellEnd"/>
      <w:r>
        <w:rPr>
          <w:i/>
          <w:iCs/>
          <w:sz w:val="24"/>
          <w:szCs w:val="24"/>
        </w:rPr>
        <w:t xml:space="preserve"> </w:t>
      </w:r>
      <w:proofErr w:type="spellStart"/>
      <w:r>
        <w:rPr>
          <w:i/>
          <w:iCs/>
          <w:sz w:val="24"/>
          <w:szCs w:val="24"/>
        </w:rPr>
        <w:t>rhizophorae</w:t>
      </w:r>
      <w:proofErr w:type="spellEnd"/>
      <w:r>
        <w:rPr>
          <w:iCs/>
          <w:sz w:val="24"/>
          <w:szCs w:val="24"/>
        </w:rPr>
        <w:t>)</w:t>
      </w:r>
      <w:r>
        <w:rPr>
          <w:rFonts w:eastAsia="Calibri"/>
          <w:sz w:val="24"/>
          <w:szCs w:val="24"/>
        </w:rPr>
        <w:t>, parati (</w:t>
      </w:r>
      <w:proofErr w:type="spellStart"/>
      <w:r>
        <w:rPr>
          <w:i/>
          <w:color w:val="000000" w:themeColor="text1"/>
          <w:sz w:val="24"/>
          <w:szCs w:val="24"/>
          <w:shd w:val="clear" w:color="auto" w:fill="FFFFFF"/>
        </w:rPr>
        <w:t>Mugil</w:t>
      </w:r>
      <w:proofErr w:type="spellEnd"/>
      <w:r>
        <w:rPr>
          <w:i/>
          <w:color w:val="000000" w:themeColor="text1"/>
          <w:sz w:val="24"/>
          <w:szCs w:val="24"/>
          <w:shd w:val="clear" w:color="auto" w:fill="FFFFFF"/>
        </w:rPr>
        <w:t xml:space="preserve"> </w:t>
      </w:r>
      <w:proofErr w:type="spellStart"/>
      <w:r>
        <w:rPr>
          <w:i/>
          <w:color w:val="000000" w:themeColor="text1"/>
          <w:sz w:val="24"/>
          <w:szCs w:val="24"/>
          <w:shd w:val="clear" w:color="auto" w:fill="FFFFFF"/>
        </w:rPr>
        <w:t>curema</w:t>
      </w:r>
      <w:proofErr w:type="spellEnd"/>
      <w:r>
        <w:rPr>
          <w:color w:val="000000" w:themeColor="text1"/>
          <w:sz w:val="24"/>
          <w:szCs w:val="24"/>
          <w:shd w:val="clear" w:color="auto" w:fill="FFFFFF"/>
        </w:rPr>
        <w:t>)</w:t>
      </w:r>
      <w:r>
        <w:rPr>
          <w:rFonts w:eastAsia="Calibri"/>
          <w:sz w:val="24"/>
          <w:szCs w:val="24"/>
        </w:rPr>
        <w:t xml:space="preserve">, pescada </w:t>
      </w:r>
      <w:proofErr w:type="spellStart"/>
      <w:r>
        <w:rPr>
          <w:rFonts w:eastAsia="Calibri"/>
          <w:sz w:val="24"/>
          <w:szCs w:val="24"/>
        </w:rPr>
        <w:t>membeca</w:t>
      </w:r>
      <w:proofErr w:type="spellEnd"/>
      <w:r>
        <w:rPr>
          <w:rFonts w:eastAsia="Calibri"/>
          <w:sz w:val="24"/>
          <w:szCs w:val="24"/>
        </w:rPr>
        <w:t xml:space="preserve"> (</w:t>
      </w:r>
      <w:proofErr w:type="spellStart"/>
      <w:r>
        <w:rPr>
          <w:color w:val="000000" w:themeColor="text1"/>
          <w:sz w:val="24"/>
          <w:szCs w:val="24"/>
          <w:shd w:val="clear" w:color="auto" w:fill="FFFFFF"/>
        </w:rPr>
        <w:t>Macrodon</w:t>
      </w:r>
      <w:proofErr w:type="spellEnd"/>
      <w:r>
        <w:rPr>
          <w:color w:val="000000" w:themeColor="text1"/>
          <w:sz w:val="24"/>
          <w:szCs w:val="24"/>
          <w:shd w:val="clear" w:color="auto" w:fill="FFFFFF"/>
        </w:rPr>
        <w:t xml:space="preserve"> </w:t>
      </w:r>
      <w:proofErr w:type="spellStart"/>
      <w:r>
        <w:rPr>
          <w:color w:val="000000" w:themeColor="text1"/>
          <w:sz w:val="24"/>
          <w:szCs w:val="24"/>
          <w:shd w:val="clear" w:color="auto" w:fill="FFFFFF"/>
        </w:rPr>
        <w:t>ancylodon</w:t>
      </w:r>
      <w:proofErr w:type="spellEnd"/>
      <w:r>
        <w:rPr>
          <w:color w:val="000000" w:themeColor="text1"/>
          <w:sz w:val="24"/>
          <w:szCs w:val="24"/>
          <w:shd w:val="clear" w:color="auto" w:fill="FFFFFF"/>
        </w:rPr>
        <w:t>)</w:t>
      </w:r>
      <w:r>
        <w:rPr>
          <w:rFonts w:eastAsia="Calibri"/>
          <w:sz w:val="24"/>
          <w:szCs w:val="24"/>
        </w:rPr>
        <w:t xml:space="preserve">, </w:t>
      </w:r>
      <w:proofErr w:type="spellStart"/>
      <w:r>
        <w:rPr>
          <w:rFonts w:eastAsia="Calibri"/>
          <w:sz w:val="24"/>
          <w:szCs w:val="24"/>
        </w:rPr>
        <w:t>prejereba</w:t>
      </w:r>
      <w:proofErr w:type="spellEnd"/>
      <w:r>
        <w:rPr>
          <w:rFonts w:eastAsia="Calibri"/>
          <w:sz w:val="24"/>
          <w:szCs w:val="24"/>
        </w:rPr>
        <w:t xml:space="preserve"> (</w:t>
      </w:r>
      <w:proofErr w:type="spellStart"/>
      <w:r>
        <w:rPr>
          <w:color w:val="000000" w:themeColor="text1"/>
          <w:sz w:val="24"/>
          <w:szCs w:val="24"/>
          <w:shd w:val="clear" w:color="auto" w:fill="FFFFFF"/>
        </w:rPr>
        <w:t>Lobotes</w:t>
      </w:r>
      <w:proofErr w:type="spellEnd"/>
      <w:r>
        <w:rPr>
          <w:color w:val="000000" w:themeColor="text1"/>
          <w:sz w:val="24"/>
          <w:szCs w:val="24"/>
          <w:shd w:val="clear" w:color="auto" w:fill="FFFFFF"/>
        </w:rPr>
        <w:t xml:space="preserve"> </w:t>
      </w:r>
      <w:proofErr w:type="spellStart"/>
      <w:r>
        <w:rPr>
          <w:color w:val="000000" w:themeColor="text1"/>
          <w:sz w:val="24"/>
          <w:szCs w:val="24"/>
          <w:shd w:val="clear" w:color="auto" w:fill="FFFFFF"/>
        </w:rPr>
        <w:t>surinamensis</w:t>
      </w:r>
      <w:proofErr w:type="spellEnd"/>
      <w:r>
        <w:rPr>
          <w:color w:val="000000" w:themeColor="text1"/>
          <w:sz w:val="24"/>
          <w:szCs w:val="24"/>
          <w:shd w:val="clear" w:color="auto" w:fill="FFFFFF"/>
        </w:rPr>
        <w:t>)</w:t>
      </w:r>
      <w:r>
        <w:rPr>
          <w:rFonts w:eastAsia="Calibri"/>
          <w:sz w:val="24"/>
          <w:szCs w:val="24"/>
        </w:rPr>
        <w:t xml:space="preserve">, </w:t>
      </w:r>
      <w:proofErr w:type="spellStart"/>
      <w:r>
        <w:rPr>
          <w:rFonts w:eastAsia="Calibri"/>
          <w:sz w:val="24"/>
          <w:szCs w:val="24"/>
        </w:rPr>
        <w:t>robalão</w:t>
      </w:r>
      <w:proofErr w:type="spellEnd"/>
      <w:r>
        <w:rPr>
          <w:rFonts w:eastAsia="Calibri"/>
          <w:sz w:val="24"/>
          <w:szCs w:val="24"/>
        </w:rPr>
        <w:t xml:space="preserve"> (</w:t>
      </w:r>
      <w:proofErr w:type="spellStart"/>
      <w:r>
        <w:rPr>
          <w:i/>
          <w:color w:val="000000" w:themeColor="text1"/>
          <w:sz w:val="24"/>
          <w:szCs w:val="24"/>
          <w:shd w:val="clear" w:color="auto" w:fill="FFFFFF"/>
        </w:rPr>
        <w:t>Centropomus</w:t>
      </w:r>
      <w:proofErr w:type="spellEnd"/>
      <w:r>
        <w:rPr>
          <w:i/>
          <w:color w:val="000000" w:themeColor="text1"/>
          <w:sz w:val="24"/>
          <w:szCs w:val="24"/>
          <w:shd w:val="clear" w:color="auto" w:fill="FFFFFF"/>
        </w:rPr>
        <w:t xml:space="preserve"> </w:t>
      </w:r>
      <w:proofErr w:type="spellStart"/>
      <w:r>
        <w:rPr>
          <w:i/>
          <w:color w:val="000000" w:themeColor="text1"/>
          <w:sz w:val="24"/>
          <w:szCs w:val="24"/>
          <w:shd w:val="clear" w:color="auto" w:fill="FFFFFF"/>
        </w:rPr>
        <w:t>undecimalis</w:t>
      </w:r>
      <w:proofErr w:type="spellEnd"/>
      <w:r>
        <w:rPr>
          <w:color w:val="222222"/>
          <w:sz w:val="24"/>
          <w:szCs w:val="24"/>
          <w:shd w:val="clear" w:color="auto" w:fill="FFFFFF"/>
        </w:rPr>
        <w:t>)</w:t>
      </w:r>
      <w:r>
        <w:rPr>
          <w:rFonts w:eastAsia="Calibri"/>
          <w:sz w:val="24"/>
          <w:szCs w:val="24"/>
        </w:rPr>
        <w:t>, robalo peva (</w:t>
      </w:r>
      <w:proofErr w:type="spellStart"/>
      <w:r>
        <w:rPr>
          <w:i/>
          <w:color w:val="000000"/>
          <w:sz w:val="24"/>
          <w:szCs w:val="24"/>
        </w:rPr>
        <w:t>Centropomus</w:t>
      </w:r>
      <w:proofErr w:type="spellEnd"/>
      <w:r>
        <w:rPr>
          <w:i/>
          <w:color w:val="000000"/>
          <w:sz w:val="24"/>
          <w:szCs w:val="24"/>
        </w:rPr>
        <w:t xml:space="preserve"> </w:t>
      </w:r>
      <w:proofErr w:type="spellStart"/>
      <w:r>
        <w:rPr>
          <w:i/>
          <w:color w:val="000000"/>
          <w:sz w:val="24"/>
          <w:szCs w:val="24"/>
        </w:rPr>
        <w:lastRenderedPageBreak/>
        <w:t>parallelus</w:t>
      </w:r>
      <w:proofErr w:type="spellEnd"/>
      <w:r>
        <w:rPr>
          <w:color w:val="000000"/>
          <w:sz w:val="24"/>
          <w:szCs w:val="24"/>
        </w:rPr>
        <w:t>)</w:t>
      </w:r>
      <w:r>
        <w:rPr>
          <w:rFonts w:eastAsia="Calibri"/>
          <w:sz w:val="24"/>
          <w:szCs w:val="24"/>
        </w:rPr>
        <w:t xml:space="preserve">, </w:t>
      </w:r>
      <w:proofErr w:type="spellStart"/>
      <w:r>
        <w:rPr>
          <w:rFonts w:eastAsia="Calibri"/>
          <w:sz w:val="24"/>
          <w:szCs w:val="24"/>
        </w:rPr>
        <w:t>saguá</w:t>
      </w:r>
      <w:proofErr w:type="spellEnd"/>
      <w:r>
        <w:rPr>
          <w:rFonts w:eastAsia="Calibri"/>
          <w:sz w:val="24"/>
          <w:szCs w:val="24"/>
        </w:rPr>
        <w:t xml:space="preserve">, </w:t>
      </w:r>
      <w:proofErr w:type="spellStart"/>
      <w:r>
        <w:rPr>
          <w:rFonts w:eastAsia="Calibri"/>
          <w:sz w:val="24"/>
          <w:szCs w:val="24"/>
        </w:rPr>
        <w:t>salteira</w:t>
      </w:r>
      <w:proofErr w:type="spellEnd"/>
      <w:r>
        <w:rPr>
          <w:rFonts w:eastAsia="Calibri"/>
          <w:sz w:val="24"/>
          <w:szCs w:val="24"/>
        </w:rPr>
        <w:t xml:space="preserve"> (</w:t>
      </w:r>
      <w:proofErr w:type="spellStart"/>
      <w:r>
        <w:rPr>
          <w:i/>
          <w:color w:val="000000" w:themeColor="text1"/>
          <w:sz w:val="24"/>
          <w:szCs w:val="24"/>
          <w:shd w:val="clear" w:color="auto" w:fill="FFFFFF"/>
        </w:rPr>
        <w:t>Oligoplites</w:t>
      </w:r>
      <w:proofErr w:type="spellEnd"/>
      <w:r>
        <w:rPr>
          <w:i/>
          <w:color w:val="000000" w:themeColor="text1"/>
          <w:sz w:val="24"/>
          <w:szCs w:val="24"/>
          <w:shd w:val="clear" w:color="auto" w:fill="FFFFFF"/>
        </w:rPr>
        <w:t xml:space="preserve"> </w:t>
      </w:r>
      <w:proofErr w:type="spellStart"/>
      <w:r>
        <w:rPr>
          <w:i/>
          <w:color w:val="000000" w:themeColor="text1"/>
          <w:sz w:val="24"/>
          <w:szCs w:val="24"/>
          <w:shd w:val="clear" w:color="auto" w:fill="FFFFFF"/>
        </w:rPr>
        <w:t>saurus</w:t>
      </w:r>
      <w:proofErr w:type="spellEnd"/>
      <w:r>
        <w:rPr>
          <w:color w:val="000000" w:themeColor="text1"/>
          <w:sz w:val="24"/>
          <w:szCs w:val="24"/>
          <w:shd w:val="clear" w:color="auto" w:fill="FFFFFF"/>
        </w:rPr>
        <w:t>),</w:t>
      </w:r>
      <w:r>
        <w:rPr>
          <w:rFonts w:eastAsia="Calibri"/>
          <w:sz w:val="24"/>
          <w:szCs w:val="24"/>
        </w:rPr>
        <w:t xml:space="preserve"> sardinha (</w:t>
      </w:r>
      <w:proofErr w:type="spellStart"/>
      <w:r>
        <w:rPr>
          <w:i/>
          <w:color w:val="000000" w:themeColor="text1"/>
          <w:sz w:val="24"/>
          <w:szCs w:val="24"/>
          <w:shd w:val="clear" w:color="auto" w:fill="FFFFFF"/>
        </w:rPr>
        <w:t>Sardina</w:t>
      </w:r>
      <w:proofErr w:type="spellEnd"/>
      <w:r>
        <w:rPr>
          <w:i/>
          <w:color w:val="000000" w:themeColor="text1"/>
          <w:sz w:val="24"/>
          <w:szCs w:val="24"/>
          <w:shd w:val="clear" w:color="auto" w:fill="FFFFFF"/>
        </w:rPr>
        <w:t xml:space="preserve"> </w:t>
      </w:r>
      <w:proofErr w:type="spellStart"/>
      <w:r>
        <w:rPr>
          <w:i/>
          <w:color w:val="000000" w:themeColor="text1"/>
          <w:sz w:val="24"/>
          <w:szCs w:val="24"/>
          <w:shd w:val="clear" w:color="auto" w:fill="FFFFFF"/>
        </w:rPr>
        <w:t>pilchardus</w:t>
      </w:r>
      <w:proofErr w:type="spellEnd"/>
      <w:r>
        <w:rPr>
          <w:color w:val="000000" w:themeColor="text1"/>
          <w:sz w:val="24"/>
          <w:szCs w:val="24"/>
          <w:shd w:val="clear" w:color="auto" w:fill="FFFFFF"/>
        </w:rPr>
        <w:t>)</w:t>
      </w:r>
      <w:r>
        <w:rPr>
          <w:rFonts w:eastAsia="Calibri"/>
          <w:sz w:val="24"/>
          <w:szCs w:val="24"/>
        </w:rPr>
        <w:t>, siri (</w:t>
      </w:r>
      <w:proofErr w:type="spellStart"/>
      <w:r>
        <w:rPr>
          <w:i/>
          <w:color w:val="222222"/>
          <w:sz w:val="24"/>
          <w:szCs w:val="24"/>
          <w:shd w:val="clear" w:color="auto" w:fill="FFFFFF"/>
        </w:rPr>
        <w:t>Callinectes</w:t>
      </w:r>
      <w:proofErr w:type="spellEnd"/>
      <w:r>
        <w:rPr>
          <w:i/>
          <w:color w:val="222222"/>
          <w:sz w:val="24"/>
          <w:szCs w:val="24"/>
          <w:shd w:val="clear" w:color="auto" w:fill="FFFFFF"/>
        </w:rPr>
        <w:t xml:space="preserve"> spp.</w:t>
      </w:r>
      <w:r>
        <w:rPr>
          <w:color w:val="222222"/>
          <w:sz w:val="24"/>
          <w:szCs w:val="24"/>
          <w:shd w:val="clear" w:color="auto" w:fill="FFFFFF"/>
        </w:rPr>
        <w:t>)</w:t>
      </w:r>
      <w:r>
        <w:rPr>
          <w:rFonts w:eastAsia="Calibri"/>
          <w:sz w:val="24"/>
          <w:szCs w:val="24"/>
        </w:rPr>
        <w:t>, sororoca (</w:t>
      </w:r>
      <w:proofErr w:type="spellStart"/>
      <w:r>
        <w:rPr>
          <w:i/>
          <w:color w:val="000000" w:themeColor="text1"/>
          <w:sz w:val="24"/>
          <w:szCs w:val="24"/>
          <w:shd w:val="clear" w:color="auto" w:fill="FFFFFF"/>
        </w:rPr>
        <w:t>Scomberomorus</w:t>
      </w:r>
      <w:proofErr w:type="spellEnd"/>
      <w:r>
        <w:rPr>
          <w:i/>
          <w:color w:val="000000" w:themeColor="text1"/>
          <w:sz w:val="24"/>
          <w:szCs w:val="24"/>
          <w:shd w:val="clear" w:color="auto" w:fill="FFFFFF"/>
        </w:rPr>
        <w:t xml:space="preserve"> </w:t>
      </w:r>
      <w:proofErr w:type="spellStart"/>
      <w:r>
        <w:rPr>
          <w:i/>
          <w:color w:val="000000" w:themeColor="text1"/>
          <w:sz w:val="24"/>
          <w:szCs w:val="24"/>
          <w:shd w:val="clear" w:color="auto" w:fill="FFFFFF"/>
        </w:rPr>
        <w:t>maculatus</w:t>
      </w:r>
      <w:proofErr w:type="spellEnd"/>
      <w:r>
        <w:rPr>
          <w:color w:val="000000" w:themeColor="text1"/>
          <w:sz w:val="24"/>
          <w:szCs w:val="24"/>
          <w:shd w:val="clear" w:color="auto" w:fill="FFFFFF"/>
        </w:rPr>
        <w:t>)</w:t>
      </w:r>
      <w:r>
        <w:rPr>
          <w:rFonts w:eastAsia="Calibri"/>
          <w:sz w:val="24"/>
          <w:szCs w:val="24"/>
        </w:rPr>
        <w:t>, sururu (</w:t>
      </w:r>
      <w:proofErr w:type="spellStart"/>
      <w:r>
        <w:rPr>
          <w:rStyle w:val="nfase"/>
          <w:color w:val="000000" w:themeColor="text1"/>
          <w:sz w:val="24"/>
          <w:szCs w:val="24"/>
          <w:shd w:val="clear" w:color="auto" w:fill="FAFAFA"/>
        </w:rPr>
        <w:t>Mytella</w:t>
      </w:r>
      <w:proofErr w:type="spellEnd"/>
      <w:r>
        <w:rPr>
          <w:rStyle w:val="nfase"/>
          <w:color w:val="000000" w:themeColor="text1"/>
          <w:sz w:val="24"/>
          <w:szCs w:val="24"/>
          <w:shd w:val="clear" w:color="auto" w:fill="FAFAFA"/>
        </w:rPr>
        <w:t xml:space="preserve"> </w:t>
      </w:r>
      <w:proofErr w:type="spellStart"/>
      <w:r>
        <w:rPr>
          <w:rStyle w:val="nfase"/>
          <w:color w:val="000000" w:themeColor="text1"/>
          <w:sz w:val="24"/>
          <w:szCs w:val="24"/>
          <w:shd w:val="clear" w:color="auto" w:fill="FAFAFA"/>
        </w:rPr>
        <w:t>guyanensis</w:t>
      </w:r>
      <w:proofErr w:type="spellEnd"/>
      <w:r>
        <w:rPr>
          <w:rStyle w:val="nfase"/>
          <w:color w:val="000000" w:themeColor="text1"/>
          <w:sz w:val="24"/>
          <w:szCs w:val="24"/>
          <w:shd w:val="clear" w:color="auto" w:fill="FAFAFA"/>
        </w:rPr>
        <w:t>)</w:t>
      </w:r>
      <w:r>
        <w:rPr>
          <w:rFonts w:eastAsia="Calibri"/>
          <w:sz w:val="24"/>
          <w:szCs w:val="24"/>
        </w:rPr>
        <w:t>, tainha (</w:t>
      </w:r>
      <w:proofErr w:type="spellStart"/>
      <w:r>
        <w:rPr>
          <w:i/>
          <w:color w:val="000000" w:themeColor="text1"/>
          <w:sz w:val="24"/>
          <w:szCs w:val="24"/>
          <w:shd w:val="clear" w:color="auto" w:fill="FFFFFF"/>
        </w:rPr>
        <w:t>Mugil</w:t>
      </w:r>
      <w:proofErr w:type="spellEnd"/>
      <w:r>
        <w:rPr>
          <w:i/>
          <w:color w:val="000000" w:themeColor="text1"/>
          <w:sz w:val="24"/>
          <w:szCs w:val="24"/>
          <w:shd w:val="clear" w:color="auto" w:fill="FFFFFF"/>
        </w:rPr>
        <w:t xml:space="preserve"> brasiliensis</w:t>
      </w:r>
      <w:r>
        <w:rPr>
          <w:color w:val="000000" w:themeColor="text1"/>
          <w:sz w:val="24"/>
          <w:szCs w:val="24"/>
          <w:shd w:val="clear" w:color="auto" w:fill="FFFFFF"/>
        </w:rPr>
        <w:t>)</w:t>
      </w:r>
      <w:r>
        <w:rPr>
          <w:rFonts w:eastAsia="Calibri"/>
          <w:sz w:val="24"/>
          <w:szCs w:val="24"/>
        </w:rPr>
        <w:t xml:space="preserve"> (MALHEIROS, 2008; MAFRA, 2012; FARACO, 2012; IUCN, 2001).</w:t>
      </w:r>
    </w:p>
    <w:p w:rsidR="009C776E" w:rsidRDefault="009C776E" w:rsidP="009C776E">
      <w:pPr>
        <w:ind w:firstLine="708"/>
        <w:jc w:val="both"/>
        <w:rPr>
          <w:rFonts w:eastAsiaTheme="minorHAnsi"/>
          <w:color w:val="000000" w:themeColor="text1"/>
          <w:sz w:val="24"/>
          <w:szCs w:val="24"/>
          <w:shd w:val="clear" w:color="auto" w:fill="FFFFFF"/>
        </w:rPr>
      </w:pPr>
      <w:r>
        <w:rPr>
          <w:sz w:val="24"/>
          <w:szCs w:val="24"/>
        </w:rPr>
        <w:t>A pesca de peixes estuarinos é feita principalmente com redes de arrasto e emalhe (ANDRIGUETTO, 1999), frequente durante todo o ano, porém com captura de peixes de menor valor econômico em março, abril e setembro, e com horários variáveis de acordo com a condicionante de maré e meteorologia. O camarão branco (</w:t>
      </w:r>
      <w:proofErr w:type="spellStart"/>
      <w:r>
        <w:rPr>
          <w:i/>
          <w:iCs/>
          <w:sz w:val="24"/>
          <w:szCs w:val="24"/>
        </w:rPr>
        <w:t>Litopenaeus</w:t>
      </w:r>
      <w:proofErr w:type="spellEnd"/>
      <w:r>
        <w:rPr>
          <w:i/>
          <w:iCs/>
          <w:sz w:val="24"/>
          <w:szCs w:val="24"/>
        </w:rPr>
        <w:t xml:space="preserve"> </w:t>
      </w:r>
      <w:proofErr w:type="spellStart"/>
      <w:r>
        <w:rPr>
          <w:i/>
          <w:iCs/>
          <w:sz w:val="24"/>
          <w:szCs w:val="24"/>
        </w:rPr>
        <w:t>schimitti</w:t>
      </w:r>
      <w:proofErr w:type="spellEnd"/>
      <w:r>
        <w:rPr>
          <w:iCs/>
          <w:sz w:val="24"/>
          <w:szCs w:val="24"/>
        </w:rPr>
        <w:t>)</w:t>
      </w:r>
      <w:r>
        <w:rPr>
          <w:sz w:val="24"/>
          <w:szCs w:val="24"/>
        </w:rPr>
        <w:t xml:space="preserve"> </w:t>
      </w:r>
      <w:r>
        <w:rPr>
          <w:color w:val="000000" w:themeColor="text1"/>
          <w:sz w:val="24"/>
          <w:szCs w:val="24"/>
          <w:shd w:val="clear" w:color="auto" w:fill="FFFFFF"/>
        </w:rPr>
        <w:t xml:space="preserve">é pescado com </w:t>
      </w:r>
      <w:proofErr w:type="spellStart"/>
      <w:r>
        <w:rPr>
          <w:color w:val="000000" w:themeColor="text1"/>
          <w:sz w:val="24"/>
          <w:szCs w:val="24"/>
          <w:shd w:val="clear" w:color="auto" w:fill="FFFFFF"/>
        </w:rPr>
        <w:t>gerival</w:t>
      </w:r>
      <w:proofErr w:type="spellEnd"/>
      <w:r>
        <w:rPr>
          <w:color w:val="000000" w:themeColor="text1"/>
          <w:sz w:val="24"/>
          <w:szCs w:val="24"/>
          <w:shd w:val="clear" w:color="auto" w:fill="FFFFFF"/>
        </w:rPr>
        <w:t xml:space="preserve"> e o </w:t>
      </w:r>
      <w:r>
        <w:rPr>
          <w:sz w:val="24"/>
          <w:szCs w:val="24"/>
        </w:rPr>
        <w:t>camarão sete-barbas (</w:t>
      </w:r>
      <w:proofErr w:type="spellStart"/>
      <w:r>
        <w:rPr>
          <w:i/>
          <w:color w:val="000000" w:themeColor="text1"/>
          <w:sz w:val="24"/>
          <w:szCs w:val="24"/>
          <w:shd w:val="clear" w:color="auto" w:fill="FFFFFF"/>
        </w:rPr>
        <w:t>Xiphopenaeus</w:t>
      </w:r>
      <w:proofErr w:type="spellEnd"/>
      <w:r>
        <w:rPr>
          <w:i/>
          <w:color w:val="000000" w:themeColor="text1"/>
          <w:sz w:val="24"/>
          <w:szCs w:val="24"/>
          <w:shd w:val="clear" w:color="auto" w:fill="FFFFFF"/>
        </w:rPr>
        <w:t xml:space="preserve"> </w:t>
      </w:r>
      <w:proofErr w:type="spellStart"/>
      <w:r>
        <w:rPr>
          <w:i/>
          <w:color w:val="000000" w:themeColor="text1"/>
          <w:sz w:val="24"/>
          <w:szCs w:val="24"/>
          <w:shd w:val="clear" w:color="auto" w:fill="FFFFFF"/>
        </w:rPr>
        <w:t>kroyeri</w:t>
      </w:r>
      <w:proofErr w:type="spellEnd"/>
      <w:r>
        <w:rPr>
          <w:color w:val="000000" w:themeColor="text1"/>
          <w:sz w:val="24"/>
          <w:szCs w:val="24"/>
          <w:shd w:val="clear" w:color="auto" w:fill="FFFFFF"/>
        </w:rPr>
        <w:t xml:space="preserve">) com redes de arrasto de porta, malha </w:t>
      </w:r>
      <w:proofErr w:type="gramStart"/>
      <w:r>
        <w:rPr>
          <w:color w:val="000000" w:themeColor="text1"/>
          <w:sz w:val="24"/>
          <w:szCs w:val="24"/>
          <w:shd w:val="clear" w:color="auto" w:fill="FFFFFF"/>
        </w:rPr>
        <w:t>25mm</w:t>
      </w:r>
      <w:proofErr w:type="gramEnd"/>
      <w:r>
        <w:rPr>
          <w:color w:val="000000" w:themeColor="text1"/>
          <w:sz w:val="24"/>
          <w:szCs w:val="24"/>
          <w:shd w:val="clear" w:color="auto" w:fill="FFFFFF"/>
        </w:rPr>
        <w:t xml:space="preserve"> (MALHEIROS, 2008), entre os meses de junho e fevereiro, e o período de defeso se estende de março a maio e de novembro a janeiro. </w:t>
      </w:r>
    </w:p>
    <w:p w:rsidR="009C776E" w:rsidRDefault="009C776E" w:rsidP="009C776E">
      <w:pPr>
        <w:jc w:val="both"/>
        <w:rPr>
          <w:color w:val="000000" w:themeColor="text1"/>
          <w:sz w:val="24"/>
          <w:szCs w:val="24"/>
          <w:shd w:val="clear" w:color="auto" w:fill="FFFFFF"/>
        </w:rPr>
      </w:pPr>
      <w:r>
        <w:rPr>
          <w:color w:val="000000" w:themeColor="text1"/>
          <w:sz w:val="24"/>
          <w:szCs w:val="24"/>
          <w:shd w:val="clear" w:color="auto" w:fill="FFFFFF"/>
        </w:rPr>
        <w:tab/>
      </w:r>
      <w:proofErr w:type="spellStart"/>
      <w:r>
        <w:rPr>
          <w:color w:val="000000" w:themeColor="text1"/>
          <w:sz w:val="24"/>
          <w:szCs w:val="24"/>
          <w:shd w:val="clear" w:color="auto" w:fill="FFFFFF"/>
        </w:rPr>
        <w:t>Andriguetto</w:t>
      </w:r>
      <w:proofErr w:type="spellEnd"/>
      <w:r>
        <w:rPr>
          <w:color w:val="000000" w:themeColor="text1"/>
          <w:sz w:val="24"/>
          <w:szCs w:val="24"/>
          <w:shd w:val="clear" w:color="auto" w:fill="FFFFFF"/>
        </w:rPr>
        <w:t xml:space="preserve"> (1999) identificou 72 espécies marinhas de peixes mais importantes na baía, divididas em 19 famílias. Dentre as espécies, 40 preferem o ambiente estuarino-costeiro, 16 apenas o ambiente costeiro, </w:t>
      </w:r>
      <w:proofErr w:type="gramStart"/>
      <w:r>
        <w:rPr>
          <w:color w:val="000000" w:themeColor="text1"/>
          <w:sz w:val="24"/>
          <w:szCs w:val="24"/>
          <w:shd w:val="clear" w:color="auto" w:fill="FFFFFF"/>
        </w:rPr>
        <w:t>7</w:t>
      </w:r>
      <w:proofErr w:type="gramEnd"/>
      <w:r>
        <w:rPr>
          <w:color w:val="000000" w:themeColor="text1"/>
          <w:sz w:val="24"/>
          <w:szCs w:val="24"/>
          <w:shd w:val="clear" w:color="auto" w:fill="FFFFFF"/>
        </w:rPr>
        <w:t xml:space="preserve"> o ambiente costeiro-plataforma e 2 apenas o ambiente estuarino. Além disso, 74% são demersais, 33% pelágicos e 3% bento-pelágicos. </w:t>
      </w:r>
    </w:p>
    <w:p w:rsidR="009C776E" w:rsidRDefault="009C776E" w:rsidP="009C776E">
      <w:pPr>
        <w:jc w:val="both"/>
        <w:rPr>
          <w:rFonts w:eastAsia="Calibri"/>
          <w:sz w:val="24"/>
          <w:szCs w:val="24"/>
        </w:rPr>
      </w:pPr>
      <w:r>
        <w:rPr>
          <w:color w:val="000000" w:themeColor="text1"/>
          <w:sz w:val="24"/>
          <w:szCs w:val="24"/>
          <w:shd w:val="clear" w:color="auto" w:fill="FFFFFF"/>
        </w:rPr>
        <w:tab/>
        <w:t xml:space="preserve">Quanto ao artefato de pesca predominante, 32 espécies são capturadas por redes de arrasto de fundo, 26 por redes de emalhe, 20 por linhas de mão, 20 por espinhel, 10 por redes de cerco, </w:t>
      </w:r>
      <w:proofErr w:type="gramStart"/>
      <w:r>
        <w:rPr>
          <w:color w:val="000000" w:themeColor="text1"/>
          <w:sz w:val="24"/>
          <w:szCs w:val="24"/>
          <w:shd w:val="clear" w:color="auto" w:fill="FFFFFF"/>
        </w:rPr>
        <w:t>5</w:t>
      </w:r>
      <w:proofErr w:type="gramEnd"/>
      <w:r>
        <w:rPr>
          <w:color w:val="000000" w:themeColor="text1"/>
          <w:sz w:val="24"/>
          <w:szCs w:val="24"/>
          <w:shd w:val="clear" w:color="auto" w:fill="FFFFFF"/>
        </w:rPr>
        <w:t xml:space="preserve"> por tarrafa e 4 por artes de anzol (ANDRIGUETTO, 1999) (Tabela 1). Assim, observam-se dois recortes de pesca: artesanal e industrial. A pesca artesanal paranaense captura </w:t>
      </w:r>
      <w:proofErr w:type="gramStart"/>
      <w:r>
        <w:rPr>
          <w:color w:val="000000" w:themeColor="text1"/>
          <w:sz w:val="24"/>
          <w:szCs w:val="24"/>
          <w:shd w:val="clear" w:color="auto" w:fill="FFFFFF"/>
        </w:rPr>
        <w:t>cerca de 1945</w:t>
      </w:r>
      <w:proofErr w:type="gramEnd"/>
      <w:r>
        <w:rPr>
          <w:color w:val="000000" w:themeColor="text1"/>
          <w:sz w:val="24"/>
          <w:szCs w:val="24"/>
          <w:shd w:val="clear" w:color="auto" w:fill="FFFFFF"/>
        </w:rPr>
        <w:t xml:space="preserve"> toneladas/ano, o que representa 0,8% do pescado nacional (PAIVA, 1997). A pesca industrial é representada, em suma maioria, como a atividade mais influente nesta categoria, em razão das técnicas de pesca em massa e menor esforço de captura (MAFRA, 2012), principalmente utilizando-se redes de arrasto e espinhel, que é uma arte composta por uma linha principal ligada a outras linhas munidas de anzóis. Porém, a atividade significativa na região não se restringe especificamente à comunidade paranaense, pois pescadores de outros estados se aproximam constantemente e usufruem da rica biodiversidade que o litoral do Paraná oferece (PIERRI, 2006).</w:t>
      </w:r>
      <w:r>
        <w:rPr>
          <w:rFonts w:eastAsia="Calibri"/>
          <w:sz w:val="24"/>
          <w:szCs w:val="24"/>
        </w:rPr>
        <w:t xml:space="preserve"> </w:t>
      </w:r>
    </w:p>
    <w:p w:rsidR="009C776E" w:rsidRDefault="009C776E" w:rsidP="009C776E">
      <w:pPr>
        <w:rPr>
          <w:rFonts w:eastAsia="Calibri"/>
        </w:rPr>
      </w:pPr>
      <w:r>
        <w:rPr>
          <w:rFonts w:eastAsia="Calibri"/>
          <w:szCs w:val="24"/>
        </w:rPr>
        <w:br/>
      </w:r>
      <w:r>
        <w:rPr>
          <w:rFonts w:eastAsia="Calibri"/>
        </w:rPr>
        <w:t xml:space="preserve">Tabela 1 - </w:t>
      </w:r>
      <w:r>
        <w:rPr>
          <w:color w:val="000000" w:themeColor="text1"/>
          <w:shd w:val="clear" w:color="auto" w:fill="FFFFFF"/>
        </w:rPr>
        <w:t>Práticas e petrechos de pesca utilizados na área de estudo.</w:t>
      </w:r>
    </w:p>
    <w:tbl>
      <w:tblPr>
        <w:tblW w:w="9075" w:type="dxa"/>
        <w:jc w:val="center"/>
        <w:tblInd w:w="108"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417"/>
        <w:gridCol w:w="1844"/>
        <w:gridCol w:w="992"/>
        <w:gridCol w:w="1560"/>
        <w:gridCol w:w="2127"/>
      </w:tblGrid>
      <w:tr w:rsidR="009C776E" w:rsidTr="009C776E">
        <w:trPr>
          <w:trHeight w:val="1023"/>
          <w:jc w:val="center"/>
        </w:trPr>
        <w:tc>
          <w:tcPr>
            <w:tcW w:w="1135" w:type="dxa"/>
            <w:tcBorders>
              <w:top w:val="single" w:sz="4" w:space="0" w:color="auto"/>
              <w:left w:val="nil"/>
              <w:bottom w:val="single" w:sz="4" w:space="0" w:color="auto"/>
              <w:right w:val="single" w:sz="4" w:space="0" w:color="auto"/>
            </w:tcBorders>
            <w:vAlign w:val="center"/>
            <w:hideMark/>
          </w:tcPr>
          <w:p w:rsidR="009C776E" w:rsidRDefault="009C776E" w:rsidP="009C776E">
            <w:pPr>
              <w:spacing w:line="240" w:lineRule="auto"/>
              <w:rPr>
                <w:b/>
                <w:lang w:eastAsia="en-US"/>
              </w:rPr>
            </w:pPr>
            <w:r>
              <w:rPr>
                <w:b/>
              </w:rPr>
              <w:lastRenderedPageBreak/>
              <w:t>Práticas de Pesca</w:t>
            </w:r>
          </w:p>
        </w:tc>
        <w:tc>
          <w:tcPr>
            <w:tcW w:w="1417"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spacing w:line="240" w:lineRule="auto"/>
              <w:rPr>
                <w:b/>
                <w:lang w:eastAsia="en-US"/>
              </w:rPr>
            </w:pPr>
            <w:r>
              <w:rPr>
                <w:b/>
              </w:rPr>
              <w:t>Petrechos utilizados</w:t>
            </w:r>
          </w:p>
        </w:tc>
        <w:tc>
          <w:tcPr>
            <w:tcW w:w="1843"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spacing w:line="240" w:lineRule="auto"/>
              <w:rPr>
                <w:b/>
                <w:lang w:eastAsia="en-US"/>
              </w:rPr>
            </w:pPr>
            <w:r>
              <w:rPr>
                <w:b/>
              </w:rPr>
              <w:t>Descrição</w:t>
            </w:r>
          </w:p>
        </w:tc>
        <w:tc>
          <w:tcPr>
            <w:tcW w:w="992"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spacing w:line="240" w:lineRule="auto"/>
              <w:rPr>
                <w:b/>
                <w:lang w:eastAsia="en-US"/>
              </w:rPr>
            </w:pPr>
            <w:r>
              <w:rPr>
                <w:b/>
              </w:rPr>
              <w:t>Arte ativa ou passiva</w:t>
            </w:r>
          </w:p>
        </w:tc>
        <w:tc>
          <w:tcPr>
            <w:tcW w:w="1559"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spacing w:line="240" w:lineRule="auto"/>
              <w:rPr>
                <w:b/>
                <w:lang w:eastAsia="en-US"/>
              </w:rPr>
            </w:pPr>
            <w:r>
              <w:rPr>
                <w:b/>
              </w:rPr>
              <w:t>Principais recursos capturados</w:t>
            </w:r>
          </w:p>
        </w:tc>
        <w:tc>
          <w:tcPr>
            <w:tcW w:w="2126" w:type="dxa"/>
            <w:tcBorders>
              <w:top w:val="single" w:sz="4" w:space="0" w:color="auto"/>
              <w:left w:val="single" w:sz="4" w:space="0" w:color="auto"/>
              <w:bottom w:val="single" w:sz="4" w:space="0" w:color="auto"/>
              <w:right w:val="nil"/>
            </w:tcBorders>
            <w:vAlign w:val="center"/>
            <w:hideMark/>
          </w:tcPr>
          <w:p w:rsidR="009C776E" w:rsidRDefault="009C776E" w:rsidP="009C776E">
            <w:pPr>
              <w:spacing w:line="240" w:lineRule="auto"/>
              <w:rPr>
                <w:b/>
                <w:lang w:eastAsia="en-US"/>
              </w:rPr>
            </w:pPr>
            <w:r>
              <w:rPr>
                <w:b/>
              </w:rPr>
              <w:t>Figura descritiva</w:t>
            </w:r>
          </w:p>
        </w:tc>
      </w:tr>
      <w:tr w:rsidR="009C776E" w:rsidTr="009C776E">
        <w:trPr>
          <w:trHeight w:val="2682"/>
          <w:jc w:val="center"/>
        </w:trPr>
        <w:tc>
          <w:tcPr>
            <w:tcW w:w="1135" w:type="dxa"/>
            <w:tcBorders>
              <w:top w:val="single" w:sz="4" w:space="0" w:color="auto"/>
              <w:left w:val="nil"/>
              <w:bottom w:val="single" w:sz="4" w:space="0" w:color="auto"/>
              <w:right w:val="single" w:sz="4" w:space="0" w:color="auto"/>
            </w:tcBorders>
            <w:vAlign w:val="center"/>
            <w:hideMark/>
          </w:tcPr>
          <w:p w:rsidR="009C776E" w:rsidRDefault="009C776E" w:rsidP="009C776E">
            <w:pPr>
              <w:spacing w:line="240" w:lineRule="auto"/>
              <w:rPr>
                <w:b/>
                <w:lang w:eastAsia="en-US"/>
              </w:rPr>
            </w:pPr>
            <w:r>
              <w:rPr>
                <w:b/>
              </w:rPr>
              <w:t>Cerco fixo</w:t>
            </w:r>
          </w:p>
        </w:tc>
        <w:tc>
          <w:tcPr>
            <w:tcW w:w="1417"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spacing w:line="240" w:lineRule="auto"/>
              <w:rPr>
                <w:lang w:eastAsia="en-US"/>
              </w:rPr>
            </w:pPr>
            <w:r>
              <w:t>Cerco feito de taquaras</w:t>
            </w:r>
          </w:p>
        </w:tc>
        <w:tc>
          <w:tcPr>
            <w:tcW w:w="1843" w:type="dxa"/>
            <w:tcBorders>
              <w:top w:val="single" w:sz="4" w:space="0" w:color="auto"/>
              <w:left w:val="single" w:sz="4" w:space="0" w:color="auto"/>
              <w:bottom w:val="single" w:sz="4" w:space="0" w:color="auto"/>
              <w:right w:val="single" w:sz="4" w:space="0" w:color="auto"/>
            </w:tcBorders>
            <w:vAlign w:val="center"/>
          </w:tcPr>
          <w:p w:rsidR="009C776E" w:rsidRDefault="009C776E" w:rsidP="009C776E">
            <w:pPr>
              <w:autoSpaceDE w:val="0"/>
              <w:autoSpaceDN w:val="0"/>
              <w:adjustRightInd w:val="0"/>
              <w:spacing w:line="240" w:lineRule="auto"/>
            </w:pPr>
          </w:p>
          <w:p w:rsidR="009C776E" w:rsidRDefault="009C776E" w:rsidP="009C776E">
            <w:pPr>
              <w:autoSpaceDE w:val="0"/>
              <w:autoSpaceDN w:val="0"/>
              <w:adjustRightInd w:val="0"/>
              <w:spacing w:line="240" w:lineRule="auto"/>
              <w:rPr>
                <w:lang w:eastAsia="en-US"/>
              </w:rPr>
            </w:pPr>
            <w:r>
              <w:t>É estaqueado no mangue. Funcionando como armadilha ou curral de peixes. Atualmente está proibido no litoral do Paraná</w:t>
            </w:r>
          </w:p>
        </w:tc>
        <w:tc>
          <w:tcPr>
            <w:tcW w:w="992"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spacing w:line="240" w:lineRule="auto"/>
              <w:rPr>
                <w:lang w:eastAsia="en-US"/>
              </w:rPr>
            </w:pPr>
            <w:r>
              <w:t>Passiva</w:t>
            </w:r>
          </w:p>
        </w:tc>
        <w:tc>
          <w:tcPr>
            <w:tcW w:w="1559"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t>Tainha, paratis, robalos e sardinha charuto.</w:t>
            </w:r>
          </w:p>
        </w:tc>
        <w:tc>
          <w:tcPr>
            <w:tcW w:w="2126" w:type="dxa"/>
            <w:tcBorders>
              <w:top w:val="single" w:sz="4" w:space="0" w:color="auto"/>
              <w:left w:val="single" w:sz="4" w:space="0" w:color="auto"/>
              <w:bottom w:val="single" w:sz="4" w:space="0" w:color="auto"/>
              <w:right w:val="nil"/>
            </w:tcBorders>
            <w:vAlign w:val="center"/>
          </w:tcPr>
          <w:p w:rsidR="009C776E" w:rsidRDefault="009C776E" w:rsidP="009C776E">
            <w:pPr>
              <w:spacing w:line="240" w:lineRule="auto"/>
              <w:rPr>
                <w:noProof/>
              </w:rPr>
            </w:pPr>
          </w:p>
          <w:p w:rsidR="009C776E" w:rsidRDefault="009C776E" w:rsidP="009C776E">
            <w:pPr>
              <w:spacing w:line="240" w:lineRule="auto"/>
              <w:rPr>
                <w:lang w:eastAsia="en-US"/>
              </w:rPr>
            </w:pPr>
            <w:r>
              <w:rPr>
                <w:noProof/>
              </w:rPr>
              <w:drawing>
                <wp:inline distT="0" distB="0" distL="0" distR="0" wp14:anchorId="4BC8B768" wp14:editId="6E30EFF0">
                  <wp:extent cx="1228725" cy="952500"/>
                  <wp:effectExtent l="0" t="0" r="9525"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33">
                            <a:extLst>
                              <a:ext uri="{28A0092B-C50C-407E-A947-70E740481C1C}">
                                <a14:useLocalDpi xmlns:a14="http://schemas.microsoft.com/office/drawing/2010/main" val="0"/>
                              </a:ext>
                            </a:extLst>
                          </a:blip>
                          <a:srcRect l="8334" r="5302"/>
                          <a:stretch>
                            <a:fillRect/>
                          </a:stretch>
                        </pic:blipFill>
                        <pic:spPr bwMode="auto">
                          <a:xfrm>
                            <a:off x="0" y="0"/>
                            <a:ext cx="1228725" cy="952500"/>
                          </a:xfrm>
                          <a:prstGeom prst="rect">
                            <a:avLst/>
                          </a:prstGeom>
                          <a:noFill/>
                          <a:ln>
                            <a:noFill/>
                          </a:ln>
                        </pic:spPr>
                      </pic:pic>
                    </a:graphicData>
                  </a:graphic>
                </wp:inline>
              </w:drawing>
            </w:r>
          </w:p>
        </w:tc>
      </w:tr>
      <w:tr w:rsidR="009C776E" w:rsidTr="009C776E">
        <w:trPr>
          <w:trHeight w:val="1800"/>
          <w:jc w:val="center"/>
        </w:trPr>
        <w:tc>
          <w:tcPr>
            <w:tcW w:w="1135" w:type="dxa"/>
            <w:tcBorders>
              <w:top w:val="single" w:sz="4" w:space="0" w:color="auto"/>
              <w:left w:val="nil"/>
              <w:bottom w:val="single" w:sz="4" w:space="0" w:color="auto"/>
              <w:right w:val="single" w:sz="4" w:space="0" w:color="auto"/>
            </w:tcBorders>
            <w:vAlign w:val="center"/>
            <w:hideMark/>
          </w:tcPr>
          <w:p w:rsidR="009C776E" w:rsidRDefault="009C776E" w:rsidP="009C776E">
            <w:pPr>
              <w:spacing w:line="240" w:lineRule="auto"/>
              <w:rPr>
                <w:b/>
                <w:lang w:eastAsia="en-US"/>
              </w:rPr>
            </w:pPr>
            <w:r>
              <w:rPr>
                <w:b/>
              </w:rPr>
              <w:t>Tarrafa</w:t>
            </w:r>
          </w:p>
        </w:tc>
        <w:tc>
          <w:tcPr>
            <w:tcW w:w="1417"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t>Tarrafas de diversas malhas.</w:t>
            </w:r>
          </w:p>
        </w:tc>
        <w:tc>
          <w:tcPr>
            <w:tcW w:w="1843"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br/>
              <w:t>Bastante difundida no interior das baías, sendo lançada de canoas ou das praias para a água.</w:t>
            </w:r>
          </w:p>
        </w:tc>
        <w:tc>
          <w:tcPr>
            <w:tcW w:w="992"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spacing w:line="240" w:lineRule="auto"/>
              <w:rPr>
                <w:lang w:eastAsia="en-US"/>
              </w:rPr>
            </w:pPr>
            <w:r>
              <w:t>Ativa</w:t>
            </w:r>
          </w:p>
        </w:tc>
        <w:tc>
          <w:tcPr>
            <w:tcW w:w="1559"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t>Tainha, garoupas, manjuba, pescadas, robalos, sardinhas e camarões.</w:t>
            </w:r>
          </w:p>
        </w:tc>
        <w:tc>
          <w:tcPr>
            <w:tcW w:w="2126" w:type="dxa"/>
            <w:tcBorders>
              <w:top w:val="single" w:sz="4" w:space="0" w:color="auto"/>
              <w:left w:val="single" w:sz="4" w:space="0" w:color="auto"/>
              <w:bottom w:val="single" w:sz="4" w:space="0" w:color="auto"/>
              <w:right w:val="nil"/>
            </w:tcBorders>
            <w:vAlign w:val="center"/>
            <w:hideMark/>
          </w:tcPr>
          <w:p w:rsidR="009C776E" w:rsidRDefault="009C776E" w:rsidP="009C776E">
            <w:pPr>
              <w:spacing w:line="240" w:lineRule="auto"/>
              <w:rPr>
                <w:lang w:eastAsia="en-US"/>
              </w:rPr>
            </w:pPr>
            <w:r>
              <w:rPr>
                <w:noProof/>
              </w:rPr>
              <w:drawing>
                <wp:inline distT="0" distB="0" distL="0" distR="0" wp14:anchorId="6671BE40" wp14:editId="349C8507">
                  <wp:extent cx="1228725" cy="781050"/>
                  <wp:effectExtent l="0" t="0" r="9525"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28725" cy="781050"/>
                          </a:xfrm>
                          <a:prstGeom prst="rect">
                            <a:avLst/>
                          </a:prstGeom>
                          <a:noFill/>
                          <a:ln>
                            <a:noFill/>
                          </a:ln>
                        </pic:spPr>
                      </pic:pic>
                    </a:graphicData>
                  </a:graphic>
                </wp:inline>
              </w:drawing>
            </w:r>
          </w:p>
        </w:tc>
      </w:tr>
      <w:tr w:rsidR="009C776E" w:rsidTr="009C776E">
        <w:trPr>
          <w:trHeight w:val="2722"/>
          <w:jc w:val="center"/>
        </w:trPr>
        <w:tc>
          <w:tcPr>
            <w:tcW w:w="1135" w:type="dxa"/>
            <w:tcBorders>
              <w:top w:val="single" w:sz="4" w:space="0" w:color="auto"/>
              <w:left w:val="nil"/>
              <w:bottom w:val="single" w:sz="4" w:space="0" w:color="auto"/>
              <w:right w:val="single" w:sz="4" w:space="0" w:color="auto"/>
            </w:tcBorders>
            <w:vAlign w:val="center"/>
            <w:hideMark/>
          </w:tcPr>
          <w:p w:rsidR="009C776E" w:rsidRDefault="009C776E" w:rsidP="009C776E">
            <w:pPr>
              <w:spacing w:line="240" w:lineRule="auto"/>
              <w:rPr>
                <w:b/>
                <w:lang w:eastAsia="en-US"/>
              </w:rPr>
            </w:pPr>
            <w:proofErr w:type="spellStart"/>
            <w:r>
              <w:rPr>
                <w:b/>
              </w:rPr>
              <w:t>Gerival</w:t>
            </w:r>
            <w:proofErr w:type="spellEnd"/>
          </w:p>
        </w:tc>
        <w:tc>
          <w:tcPr>
            <w:tcW w:w="1417"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t>Adaptação da tarrafa de arremesso, com cerca de 3 a 5 metros, e malhas de 1,5 e 2,5 entre nós opostos.</w:t>
            </w:r>
          </w:p>
        </w:tc>
        <w:tc>
          <w:tcPr>
            <w:tcW w:w="1843" w:type="dxa"/>
            <w:tcBorders>
              <w:top w:val="single" w:sz="4" w:space="0" w:color="auto"/>
              <w:left w:val="single" w:sz="4" w:space="0" w:color="auto"/>
              <w:bottom w:val="single" w:sz="4" w:space="0" w:color="auto"/>
              <w:right w:val="single" w:sz="4" w:space="0" w:color="auto"/>
            </w:tcBorders>
            <w:vAlign w:val="center"/>
          </w:tcPr>
          <w:p w:rsidR="009C776E" w:rsidRDefault="009C776E" w:rsidP="009C776E">
            <w:pPr>
              <w:autoSpaceDE w:val="0"/>
              <w:autoSpaceDN w:val="0"/>
              <w:adjustRightInd w:val="0"/>
              <w:spacing w:line="240" w:lineRule="auto"/>
            </w:pPr>
          </w:p>
          <w:p w:rsidR="009C776E" w:rsidRDefault="009C776E" w:rsidP="009C776E">
            <w:pPr>
              <w:autoSpaceDE w:val="0"/>
              <w:autoSpaceDN w:val="0"/>
              <w:adjustRightInd w:val="0"/>
              <w:spacing w:line="240" w:lineRule="auto"/>
            </w:pPr>
            <w:r>
              <w:t>É utilizada como de rede de arrasto de travessão.</w:t>
            </w:r>
          </w:p>
          <w:p w:rsidR="009C776E" w:rsidRDefault="009C776E" w:rsidP="009C776E">
            <w:pPr>
              <w:autoSpaceDE w:val="0"/>
              <w:autoSpaceDN w:val="0"/>
              <w:adjustRightInd w:val="0"/>
              <w:spacing w:line="240" w:lineRule="auto"/>
              <w:rPr>
                <w:lang w:eastAsia="en-US"/>
              </w:rPr>
            </w:pPr>
            <w:r>
              <w:t>Equipamento de fácil confecção e uso, amplamente difundido nas baías.</w:t>
            </w:r>
          </w:p>
        </w:tc>
        <w:tc>
          <w:tcPr>
            <w:tcW w:w="992"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spacing w:line="240" w:lineRule="auto"/>
              <w:rPr>
                <w:lang w:eastAsia="en-US"/>
              </w:rPr>
            </w:pPr>
            <w:r>
              <w:t>Ativa</w:t>
            </w:r>
          </w:p>
        </w:tc>
        <w:tc>
          <w:tcPr>
            <w:tcW w:w="1559"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t>Camarão-branco, camarão-ferrinho ou camarão-preto.</w:t>
            </w:r>
          </w:p>
        </w:tc>
        <w:tc>
          <w:tcPr>
            <w:tcW w:w="2126" w:type="dxa"/>
            <w:tcBorders>
              <w:top w:val="single" w:sz="4" w:space="0" w:color="auto"/>
              <w:left w:val="single" w:sz="4" w:space="0" w:color="auto"/>
              <w:bottom w:val="single" w:sz="4" w:space="0" w:color="auto"/>
              <w:right w:val="nil"/>
            </w:tcBorders>
            <w:vAlign w:val="center"/>
            <w:hideMark/>
          </w:tcPr>
          <w:p w:rsidR="009C776E" w:rsidRDefault="009C776E" w:rsidP="009C776E">
            <w:pPr>
              <w:spacing w:line="240" w:lineRule="auto"/>
              <w:rPr>
                <w:lang w:eastAsia="en-US"/>
              </w:rPr>
            </w:pPr>
            <w:r>
              <w:rPr>
                <w:noProof/>
              </w:rPr>
              <w:drawing>
                <wp:inline distT="0" distB="0" distL="0" distR="0" wp14:anchorId="73A826F8" wp14:editId="14EBF899">
                  <wp:extent cx="1200150" cy="876300"/>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00150" cy="876300"/>
                          </a:xfrm>
                          <a:prstGeom prst="rect">
                            <a:avLst/>
                          </a:prstGeom>
                          <a:noFill/>
                          <a:ln>
                            <a:noFill/>
                          </a:ln>
                        </pic:spPr>
                      </pic:pic>
                    </a:graphicData>
                  </a:graphic>
                </wp:inline>
              </w:drawing>
            </w:r>
          </w:p>
        </w:tc>
      </w:tr>
      <w:tr w:rsidR="009C776E" w:rsidTr="009C776E">
        <w:trPr>
          <w:jc w:val="center"/>
        </w:trPr>
        <w:tc>
          <w:tcPr>
            <w:tcW w:w="1135" w:type="dxa"/>
            <w:tcBorders>
              <w:top w:val="single" w:sz="4" w:space="0" w:color="auto"/>
              <w:left w:val="nil"/>
              <w:bottom w:val="single" w:sz="4" w:space="0" w:color="auto"/>
              <w:right w:val="single" w:sz="4" w:space="0" w:color="auto"/>
            </w:tcBorders>
            <w:vAlign w:val="center"/>
            <w:hideMark/>
          </w:tcPr>
          <w:p w:rsidR="009C776E" w:rsidRDefault="009C776E" w:rsidP="009C776E">
            <w:pPr>
              <w:spacing w:line="240" w:lineRule="auto"/>
              <w:rPr>
                <w:b/>
                <w:lang w:eastAsia="en-US"/>
              </w:rPr>
            </w:pPr>
            <w:r>
              <w:rPr>
                <w:b/>
              </w:rPr>
              <w:t>Caceio</w:t>
            </w:r>
          </w:p>
        </w:tc>
        <w:tc>
          <w:tcPr>
            <w:tcW w:w="1417"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t>Redes de emalhar retangulares de diversas malhas.</w:t>
            </w:r>
          </w:p>
        </w:tc>
        <w:tc>
          <w:tcPr>
            <w:tcW w:w="1843"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br/>
              <w:t>Deixa-se à deriva uma rede, a qual pode ou não permanecer fixada à embarcação. As redes podem derivar pela superfície (“caceio boiado”) ou pelo fundo (“caceio de fundo”).</w:t>
            </w:r>
          </w:p>
        </w:tc>
        <w:tc>
          <w:tcPr>
            <w:tcW w:w="992"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t>Ativa ou passiva</w:t>
            </w:r>
          </w:p>
        </w:tc>
        <w:tc>
          <w:tcPr>
            <w:tcW w:w="1559"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t xml:space="preserve">Camarão-branco, pescadas, cações, tainhas, cavalas, </w:t>
            </w:r>
            <w:proofErr w:type="spellStart"/>
            <w:r>
              <w:t>salteiras</w:t>
            </w:r>
            <w:proofErr w:type="spellEnd"/>
            <w:r>
              <w:t xml:space="preserve"> e corvinas.</w:t>
            </w:r>
          </w:p>
        </w:tc>
        <w:tc>
          <w:tcPr>
            <w:tcW w:w="2126" w:type="dxa"/>
            <w:tcBorders>
              <w:top w:val="single" w:sz="4" w:space="0" w:color="auto"/>
              <w:left w:val="single" w:sz="4" w:space="0" w:color="auto"/>
              <w:bottom w:val="single" w:sz="4" w:space="0" w:color="auto"/>
              <w:right w:val="nil"/>
            </w:tcBorders>
            <w:vAlign w:val="center"/>
            <w:hideMark/>
          </w:tcPr>
          <w:p w:rsidR="009C776E" w:rsidRDefault="009C776E" w:rsidP="009C776E">
            <w:pPr>
              <w:spacing w:line="240" w:lineRule="auto"/>
              <w:rPr>
                <w:lang w:eastAsia="en-US"/>
              </w:rPr>
            </w:pPr>
            <w:r>
              <w:rPr>
                <w:noProof/>
              </w:rPr>
              <w:drawing>
                <wp:inline distT="0" distB="0" distL="0" distR="0" wp14:anchorId="3BACCCD7" wp14:editId="6F3B23FA">
                  <wp:extent cx="1181100" cy="1066800"/>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81100" cy="1066800"/>
                          </a:xfrm>
                          <a:prstGeom prst="rect">
                            <a:avLst/>
                          </a:prstGeom>
                          <a:noFill/>
                          <a:ln>
                            <a:noFill/>
                          </a:ln>
                        </pic:spPr>
                      </pic:pic>
                    </a:graphicData>
                  </a:graphic>
                </wp:inline>
              </w:drawing>
            </w:r>
          </w:p>
        </w:tc>
      </w:tr>
      <w:tr w:rsidR="009C776E" w:rsidTr="009C776E">
        <w:trPr>
          <w:jc w:val="center"/>
        </w:trPr>
        <w:tc>
          <w:tcPr>
            <w:tcW w:w="1135" w:type="dxa"/>
            <w:tcBorders>
              <w:top w:val="single" w:sz="4" w:space="0" w:color="auto"/>
              <w:left w:val="nil"/>
              <w:bottom w:val="single" w:sz="4" w:space="0" w:color="auto"/>
              <w:right w:val="single" w:sz="4" w:space="0" w:color="auto"/>
            </w:tcBorders>
            <w:vAlign w:val="center"/>
            <w:hideMark/>
          </w:tcPr>
          <w:p w:rsidR="009C776E" w:rsidRDefault="009C776E" w:rsidP="009C776E">
            <w:pPr>
              <w:spacing w:line="240" w:lineRule="auto"/>
              <w:rPr>
                <w:b/>
                <w:lang w:eastAsia="en-US"/>
              </w:rPr>
            </w:pPr>
            <w:r>
              <w:rPr>
                <w:b/>
              </w:rPr>
              <w:t>Fundeio</w:t>
            </w:r>
          </w:p>
        </w:tc>
        <w:tc>
          <w:tcPr>
            <w:tcW w:w="1417"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t>Redes de emalhar retangulares de diversas malhas.</w:t>
            </w:r>
          </w:p>
        </w:tc>
        <w:tc>
          <w:tcPr>
            <w:tcW w:w="1843"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br/>
              <w:t xml:space="preserve">Pescaria em que a rede permanece relativamente imóvel, rente ao fundo do mar. Os pescadores fundeiam a rede e, normalmente </w:t>
            </w:r>
            <w:r>
              <w:lastRenderedPageBreak/>
              <w:t>no dia seguinte, retornam para realizar a despesca.</w:t>
            </w:r>
          </w:p>
        </w:tc>
        <w:tc>
          <w:tcPr>
            <w:tcW w:w="992"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spacing w:line="240" w:lineRule="auto"/>
              <w:rPr>
                <w:lang w:eastAsia="en-US"/>
              </w:rPr>
            </w:pPr>
            <w:r>
              <w:lastRenderedPageBreak/>
              <w:t>Passiva</w:t>
            </w:r>
          </w:p>
        </w:tc>
        <w:tc>
          <w:tcPr>
            <w:tcW w:w="1559"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t xml:space="preserve">Linguado, corvinas, </w:t>
            </w:r>
            <w:proofErr w:type="spellStart"/>
            <w:r>
              <w:t>salteiras</w:t>
            </w:r>
            <w:proofErr w:type="spellEnd"/>
            <w:r>
              <w:t>, betaras, cações, bagres, robalos e pescadas.</w:t>
            </w:r>
          </w:p>
        </w:tc>
        <w:tc>
          <w:tcPr>
            <w:tcW w:w="2126" w:type="dxa"/>
            <w:tcBorders>
              <w:top w:val="single" w:sz="4" w:space="0" w:color="auto"/>
              <w:left w:val="single" w:sz="4" w:space="0" w:color="auto"/>
              <w:bottom w:val="single" w:sz="4" w:space="0" w:color="auto"/>
              <w:right w:val="nil"/>
            </w:tcBorders>
            <w:vAlign w:val="center"/>
            <w:hideMark/>
          </w:tcPr>
          <w:p w:rsidR="009C776E" w:rsidRDefault="009C776E" w:rsidP="009C776E">
            <w:pPr>
              <w:spacing w:line="240" w:lineRule="auto"/>
              <w:rPr>
                <w:lang w:eastAsia="en-US"/>
              </w:rPr>
            </w:pPr>
            <w:r>
              <w:rPr>
                <w:noProof/>
              </w:rPr>
              <w:drawing>
                <wp:inline distT="0" distB="0" distL="0" distR="0" wp14:anchorId="4AE01FC9" wp14:editId="13304680">
                  <wp:extent cx="1219200" cy="895350"/>
                  <wp:effectExtent l="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19200" cy="895350"/>
                          </a:xfrm>
                          <a:prstGeom prst="rect">
                            <a:avLst/>
                          </a:prstGeom>
                          <a:noFill/>
                          <a:ln>
                            <a:noFill/>
                          </a:ln>
                        </pic:spPr>
                      </pic:pic>
                    </a:graphicData>
                  </a:graphic>
                </wp:inline>
              </w:drawing>
            </w:r>
          </w:p>
        </w:tc>
      </w:tr>
      <w:tr w:rsidR="009C776E" w:rsidTr="009C776E">
        <w:trPr>
          <w:jc w:val="center"/>
        </w:trPr>
        <w:tc>
          <w:tcPr>
            <w:tcW w:w="1135" w:type="dxa"/>
            <w:tcBorders>
              <w:top w:val="single" w:sz="4" w:space="0" w:color="auto"/>
              <w:left w:val="nil"/>
              <w:bottom w:val="single" w:sz="4" w:space="0" w:color="auto"/>
              <w:right w:val="single" w:sz="4" w:space="0" w:color="auto"/>
            </w:tcBorders>
            <w:vAlign w:val="center"/>
            <w:hideMark/>
          </w:tcPr>
          <w:p w:rsidR="009C776E" w:rsidRDefault="009C776E" w:rsidP="009C776E">
            <w:pPr>
              <w:spacing w:line="240" w:lineRule="auto"/>
              <w:rPr>
                <w:b/>
                <w:lang w:eastAsia="en-US"/>
              </w:rPr>
            </w:pPr>
            <w:r>
              <w:rPr>
                <w:b/>
              </w:rPr>
              <w:lastRenderedPageBreak/>
              <w:t>Espinhel</w:t>
            </w:r>
          </w:p>
        </w:tc>
        <w:tc>
          <w:tcPr>
            <w:tcW w:w="1417"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t>Um cabo longo de onde saem cabos mais curtos com os anzóis, podendo ser de diferentes tamanhos.</w:t>
            </w:r>
          </w:p>
        </w:tc>
        <w:tc>
          <w:tcPr>
            <w:tcW w:w="1843"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br/>
              <w:t>Nas extremidades do cabo principal pode haver boias e/ou poitas que fixam o espinhel no local. É dirigido para espécies de fundo do interior das baías.</w:t>
            </w:r>
          </w:p>
        </w:tc>
        <w:tc>
          <w:tcPr>
            <w:tcW w:w="992"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spacing w:line="240" w:lineRule="auto"/>
              <w:rPr>
                <w:lang w:eastAsia="en-US"/>
              </w:rPr>
            </w:pPr>
            <w:r>
              <w:t>Passiva</w:t>
            </w:r>
          </w:p>
        </w:tc>
        <w:tc>
          <w:tcPr>
            <w:tcW w:w="1559"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t xml:space="preserve">Badejo, garoupa, </w:t>
            </w:r>
            <w:proofErr w:type="spellStart"/>
            <w:r>
              <w:t>caranha</w:t>
            </w:r>
            <w:proofErr w:type="spellEnd"/>
            <w:r>
              <w:t xml:space="preserve">, bagres, miraguaia, </w:t>
            </w:r>
            <w:proofErr w:type="spellStart"/>
            <w:r>
              <w:t>salteiras</w:t>
            </w:r>
            <w:proofErr w:type="spellEnd"/>
            <w:r>
              <w:t>, cações, corvina e pescada.</w:t>
            </w:r>
          </w:p>
        </w:tc>
        <w:tc>
          <w:tcPr>
            <w:tcW w:w="2126" w:type="dxa"/>
            <w:tcBorders>
              <w:top w:val="single" w:sz="4" w:space="0" w:color="auto"/>
              <w:left w:val="single" w:sz="4" w:space="0" w:color="auto"/>
              <w:bottom w:val="single" w:sz="4" w:space="0" w:color="auto"/>
              <w:right w:val="nil"/>
            </w:tcBorders>
            <w:vAlign w:val="center"/>
            <w:hideMark/>
          </w:tcPr>
          <w:p w:rsidR="009C776E" w:rsidRDefault="009C776E" w:rsidP="009C776E">
            <w:pPr>
              <w:spacing w:line="240" w:lineRule="auto"/>
              <w:rPr>
                <w:lang w:eastAsia="en-US"/>
              </w:rPr>
            </w:pPr>
            <w:r>
              <w:rPr>
                <w:noProof/>
              </w:rPr>
              <w:drawing>
                <wp:inline distT="0" distB="0" distL="0" distR="0" wp14:anchorId="3E0D663B" wp14:editId="2317B516">
                  <wp:extent cx="1276350" cy="1133475"/>
                  <wp:effectExtent l="0" t="0" r="0" b="9525"/>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76350" cy="1133475"/>
                          </a:xfrm>
                          <a:prstGeom prst="rect">
                            <a:avLst/>
                          </a:prstGeom>
                          <a:noFill/>
                          <a:ln>
                            <a:noFill/>
                          </a:ln>
                        </pic:spPr>
                      </pic:pic>
                    </a:graphicData>
                  </a:graphic>
                </wp:inline>
              </w:drawing>
            </w:r>
          </w:p>
        </w:tc>
      </w:tr>
      <w:tr w:rsidR="009C776E" w:rsidTr="009C776E">
        <w:trPr>
          <w:jc w:val="center"/>
        </w:trPr>
        <w:tc>
          <w:tcPr>
            <w:tcW w:w="1135" w:type="dxa"/>
            <w:tcBorders>
              <w:top w:val="single" w:sz="4" w:space="0" w:color="auto"/>
              <w:left w:val="nil"/>
              <w:bottom w:val="single" w:sz="4" w:space="0" w:color="auto"/>
              <w:right w:val="single" w:sz="4" w:space="0" w:color="auto"/>
            </w:tcBorders>
            <w:vAlign w:val="center"/>
            <w:hideMark/>
          </w:tcPr>
          <w:p w:rsidR="009C776E" w:rsidRDefault="009C776E" w:rsidP="009C776E">
            <w:pPr>
              <w:spacing w:line="240" w:lineRule="auto"/>
              <w:rPr>
                <w:b/>
                <w:lang w:eastAsia="en-US"/>
              </w:rPr>
            </w:pPr>
            <w:r>
              <w:rPr>
                <w:b/>
              </w:rPr>
              <w:t>Arrasto de fundo</w:t>
            </w:r>
          </w:p>
        </w:tc>
        <w:tc>
          <w:tcPr>
            <w:tcW w:w="1417"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t xml:space="preserve">Rede em forma de funil e pranchas, </w:t>
            </w:r>
            <w:proofErr w:type="spellStart"/>
            <w:r>
              <w:t>tangones</w:t>
            </w:r>
            <w:proofErr w:type="spellEnd"/>
            <w:r>
              <w:t xml:space="preserve"> e guinchos para o arrasto duplo.</w:t>
            </w:r>
          </w:p>
        </w:tc>
        <w:tc>
          <w:tcPr>
            <w:tcW w:w="1843"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br/>
              <w:t xml:space="preserve">A rede é arrastada pela </w:t>
            </w:r>
            <w:proofErr w:type="gramStart"/>
            <w:r>
              <w:t>embarcação no fundo marinho, capturando o que entrar na rede</w:t>
            </w:r>
            <w:proofErr w:type="gramEnd"/>
            <w:r>
              <w:t>. A prática é restrita ao mar aberto, sendo proibida dentro das baías.</w:t>
            </w:r>
          </w:p>
        </w:tc>
        <w:tc>
          <w:tcPr>
            <w:tcW w:w="992"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spacing w:line="240" w:lineRule="auto"/>
              <w:rPr>
                <w:lang w:eastAsia="en-US"/>
              </w:rPr>
            </w:pPr>
            <w:r>
              <w:t>Ativa</w:t>
            </w:r>
          </w:p>
        </w:tc>
        <w:tc>
          <w:tcPr>
            <w:tcW w:w="1559"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t>Camarão-</w:t>
            </w:r>
            <w:proofErr w:type="spellStart"/>
            <w:r>
              <w:t>setebarbas</w:t>
            </w:r>
            <w:proofErr w:type="spellEnd"/>
            <w:r>
              <w:t>, camarão branco e camarão rosa.</w:t>
            </w:r>
          </w:p>
        </w:tc>
        <w:tc>
          <w:tcPr>
            <w:tcW w:w="2126" w:type="dxa"/>
            <w:tcBorders>
              <w:top w:val="single" w:sz="4" w:space="0" w:color="auto"/>
              <w:left w:val="single" w:sz="4" w:space="0" w:color="auto"/>
              <w:bottom w:val="single" w:sz="4" w:space="0" w:color="auto"/>
              <w:right w:val="nil"/>
            </w:tcBorders>
            <w:vAlign w:val="center"/>
            <w:hideMark/>
          </w:tcPr>
          <w:p w:rsidR="009C776E" w:rsidRDefault="009C776E" w:rsidP="009C776E">
            <w:pPr>
              <w:spacing w:line="240" w:lineRule="auto"/>
              <w:rPr>
                <w:noProof/>
                <w:lang w:eastAsia="en-US"/>
              </w:rPr>
            </w:pPr>
            <w:r>
              <w:rPr>
                <w:noProof/>
              </w:rPr>
              <w:drawing>
                <wp:inline distT="0" distB="0" distL="0" distR="0" wp14:anchorId="5F8AC3B0" wp14:editId="698227B4">
                  <wp:extent cx="1257300" cy="1428750"/>
                  <wp:effectExtent l="0" t="0" r="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57300" cy="1428750"/>
                          </a:xfrm>
                          <a:prstGeom prst="rect">
                            <a:avLst/>
                          </a:prstGeom>
                          <a:noFill/>
                          <a:ln>
                            <a:noFill/>
                          </a:ln>
                        </pic:spPr>
                      </pic:pic>
                    </a:graphicData>
                  </a:graphic>
                </wp:inline>
              </w:drawing>
            </w:r>
          </w:p>
        </w:tc>
      </w:tr>
      <w:tr w:rsidR="009C776E" w:rsidTr="009C776E">
        <w:trPr>
          <w:jc w:val="center"/>
        </w:trPr>
        <w:tc>
          <w:tcPr>
            <w:tcW w:w="1135" w:type="dxa"/>
            <w:tcBorders>
              <w:top w:val="single" w:sz="4" w:space="0" w:color="auto"/>
              <w:left w:val="nil"/>
              <w:bottom w:val="single" w:sz="4" w:space="0" w:color="auto"/>
              <w:right w:val="single" w:sz="4" w:space="0" w:color="auto"/>
            </w:tcBorders>
            <w:vAlign w:val="center"/>
            <w:hideMark/>
          </w:tcPr>
          <w:p w:rsidR="009C776E" w:rsidRDefault="009C776E" w:rsidP="009C776E">
            <w:pPr>
              <w:spacing w:line="240" w:lineRule="auto"/>
              <w:rPr>
                <w:b/>
                <w:lang w:eastAsia="en-US"/>
              </w:rPr>
            </w:pPr>
            <w:r>
              <w:rPr>
                <w:b/>
              </w:rPr>
              <w:t>Lanço</w:t>
            </w:r>
          </w:p>
        </w:tc>
        <w:tc>
          <w:tcPr>
            <w:tcW w:w="1417"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t>Redes de emalhar retangulares de diversas malhas.</w:t>
            </w:r>
          </w:p>
        </w:tc>
        <w:tc>
          <w:tcPr>
            <w:tcW w:w="1843"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br/>
              <w:t>Uma das pontas da rede permanece na praia ou na embarcação, enquanto a outra é levada por uma canoa para cercar o cardume e ser posteriormente puxada.</w:t>
            </w:r>
          </w:p>
        </w:tc>
        <w:tc>
          <w:tcPr>
            <w:tcW w:w="992"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spacing w:line="240" w:lineRule="auto"/>
              <w:rPr>
                <w:lang w:eastAsia="en-US"/>
              </w:rPr>
            </w:pPr>
            <w:r>
              <w:t>Ativa</w:t>
            </w:r>
          </w:p>
        </w:tc>
        <w:tc>
          <w:tcPr>
            <w:tcW w:w="1559"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pPr>
            <w:r>
              <w:t xml:space="preserve">Peixes, camarões </w:t>
            </w:r>
            <w:proofErr w:type="gramStart"/>
            <w:r>
              <w:t>e</w:t>
            </w:r>
            <w:proofErr w:type="gramEnd"/>
          </w:p>
          <w:p w:rsidR="009C776E" w:rsidRDefault="009C776E" w:rsidP="009C776E">
            <w:pPr>
              <w:spacing w:line="240" w:lineRule="auto"/>
              <w:rPr>
                <w:lang w:eastAsia="en-US"/>
              </w:rPr>
            </w:pPr>
            <w:proofErr w:type="spellStart"/>
            <w:proofErr w:type="gramStart"/>
            <w:r>
              <w:rPr>
                <w:i/>
                <w:iCs/>
              </w:rPr>
              <w:t>iriko</w:t>
            </w:r>
            <w:proofErr w:type="spellEnd"/>
            <w:proofErr w:type="gramEnd"/>
            <w:r>
              <w:rPr>
                <w:i/>
                <w:iCs/>
              </w:rPr>
              <w:t>.</w:t>
            </w:r>
          </w:p>
        </w:tc>
        <w:tc>
          <w:tcPr>
            <w:tcW w:w="2126" w:type="dxa"/>
            <w:tcBorders>
              <w:top w:val="single" w:sz="4" w:space="0" w:color="auto"/>
              <w:left w:val="single" w:sz="4" w:space="0" w:color="auto"/>
              <w:bottom w:val="single" w:sz="4" w:space="0" w:color="auto"/>
              <w:right w:val="nil"/>
            </w:tcBorders>
            <w:vAlign w:val="center"/>
            <w:hideMark/>
          </w:tcPr>
          <w:p w:rsidR="009C776E" w:rsidRDefault="009C776E" w:rsidP="009C776E">
            <w:pPr>
              <w:spacing w:line="240" w:lineRule="auto"/>
              <w:rPr>
                <w:noProof/>
                <w:lang w:eastAsia="en-US"/>
              </w:rPr>
            </w:pPr>
            <w:r>
              <w:rPr>
                <w:noProof/>
              </w:rPr>
              <w:drawing>
                <wp:inline distT="0" distB="0" distL="0" distR="0" wp14:anchorId="413A0C64" wp14:editId="6AFA36A9">
                  <wp:extent cx="1247775" cy="676275"/>
                  <wp:effectExtent l="0" t="0" r="9525" b="9525"/>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47775" cy="676275"/>
                          </a:xfrm>
                          <a:prstGeom prst="rect">
                            <a:avLst/>
                          </a:prstGeom>
                          <a:noFill/>
                          <a:ln>
                            <a:noFill/>
                          </a:ln>
                        </pic:spPr>
                      </pic:pic>
                    </a:graphicData>
                  </a:graphic>
                </wp:inline>
              </w:drawing>
            </w:r>
          </w:p>
        </w:tc>
      </w:tr>
      <w:tr w:rsidR="009C776E" w:rsidTr="009C776E">
        <w:trPr>
          <w:jc w:val="center"/>
        </w:trPr>
        <w:tc>
          <w:tcPr>
            <w:tcW w:w="1135" w:type="dxa"/>
            <w:tcBorders>
              <w:top w:val="single" w:sz="4" w:space="0" w:color="auto"/>
              <w:left w:val="nil"/>
              <w:bottom w:val="single" w:sz="4" w:space="0" w:color="auto"/>
              <w:right w:val="single" w:sz="4" w:space="0" w:color="auto"/>
            </w:tcBorders>
            <w:vAlign w:val="center"/>
            <w:hideMark/>
          </w:tcPr>
          <w:p w:rsidR="009C776E" w:rsidRDefault="009C776E" w:rsidP="009C776E">
            <w:pPr>
              <w:spacing w:line="240" w:lineRule="auto"/>
              <w:rPr>
                <w:b/>
                <w:lang w:eastAsia="en-US"/>
              </w:rPr>
            </w:pPr>
            <w:r>
              <w:rPr>
                <w:b/>
              </w:rPr>
              <w:t>Gaiola ou Puçá</w:t>
            </w:r>
          </w:p>
        </w:tc>
        <w:tc>
          <w:tcPr>
            <w:tcW w:w="1417"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t xml:space="preserve">Gaiolas ou puçás de arame retorcido com redes de malhas com </w:t>
            </w:r>
            <w:proofErr w:type="gramStart"/>
            <w:r>
              <w:t>3</w:t>
            </w:r>
            <w:proofErr w:type="gramEnd"/>
            <w:r>
              <w:t xml:space="preserve"> a 5,5 cm entre nós opostos.</w:t>
            </w:r>
          </w:p>
        </w:tc>
        <w:tc>
          <w:tcPr>
            <w:tcW w:w="1843"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br/>
              <w:t>O apetrecho é jogado no fundo com uma isca, no caso da gaiola o recurso entra na estrutura e não consegue sair, já com o puçá o pescador obrigado a puxar o apetrecho para capturar o recurso.</w:t>
            </w:r>
          </w:p>
        </w:tc>
        <w:tc>
          <w:tcPr>
            <w:tcW w:w="992"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autoSpaceDE w:val="0"/>
              <w:autoSpaceDN w:val="0"/>
              <w:adjustRightInd w:val="0"/>
              <w:spacing w:line="240" w:lineRule="auto"/>
              <w:rPr>
                <w:lang w:eastAsia="en-US"/>
              </w:rPr>
            </w:pPr>
            <w:r>
              <w:t>Ativa ou passiva</w:t>
            </w:r>
          </w:p>
        </w:tc>
        <w:tc>
          <w:tcPr>
            <w:tcW w:w="1559"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spacing w:line="240" w:lineRule="auto"/>
              <w:rPr>
                <w:lang w:eastAsia="en-US"/>
              </w:rPr>
            </w:pPr>
            <w:r>
              <w:t>Siri e baiacu.</w:t>
            </w:r>
          </w:p>
        </w:tc>
        <w:tc>
          <w:tcPr>
            <w:tcW w:w="2126" w:type="dxa"/>
            <w:tcBorders>
              <w:top w:val="single" w:sz="4" w:space="0" w:color="auto"/>
              <w:left w:val="single" w:sz="4" w:space="0" w:color="auto"/>
              <w:bottom w:val="single" w:sz="4" w:space="0" w:color="auto"/>
              <w:right w:val="nil"/>
            </w:tcBorders>
            <w:vAlign w:val="center"/>
            <w:hideMark/>
          </w:tcPr>
          <w:p w:rsidR="009C776E" w:rsidRDefault="009C776E" w:rsidP="009C776E">
            <w:pPr>
              <w:spacing w:line="240" w:lineRule="auto"/>
              <w:rPr>
                <w:noProof/>
                <w:lang w:eastAsia="en-US"/>
              </w:rPr>
            </w:pPr>
            <w:r>
              <w:rPr>
                <w:noProof/>
              </w:rPr>
              <w:t>--</w:t>
            </w:r>
          </w:p>
        </w:tc>
      </w:tr>
      <w:tr w:rsidR="009C776E" w:rsidTr="009C776E">
        <w:trPr>
          <w:jc w:val="center"/>
        </w:trPr>
        <w:tc>
          <w:tcPr>
            <w:tcW w:w="1135" w:type="dxa"/>
            <w:tcBorders>
              <w:top w:val="single" w:sz="4" w:space="0" w:color="auto"/>
              <w:left w:val="nil"/>
              <w:bottom w:val="single" w:sz="4" w:space="0" w:color="auto"/>
              <w:right w:val="single" w:sz="4" w:space="0" w:color="auto"/>
            </w:tcBorders>
            <w:hideMark/>
          </w:tcPr>
          <w:p w:rsidR="009C776E" w:rsidRDefault="009C776E" w:rsidP="009C776E">
            <w:pPr>
              <w:spacing w:line="240" w:lineRule="auto"/>
              <w:rPr>
                <w:b/>
              </w:rPr>
            </w:pPr>
            <w:r>
              <w:rPr>
                <w:b/>
              </w:rPr>
              <w:br/>
            </w:r>
          </w:p>
          <w:p w:rsidR="009C776E" w:rsidRDefault="009C776E" w:rsidP="009C776E">
            <w:pPr>
              <w:spacing w:line="240" w:lineRule="auto"/>
              <w:rPr>
                <w:b/>
                <w:lang w:eastAsia="en-US"/>
              </w:rPr>
            </w:pPr>
            <w:r>
              <w:rPr>
                <w:b/>
              </w:rPr>
              <w:t>Lacinho</w:t>
            </w:r>
          </w:p>
        </w:tc>
        <w:tc>
          <w:tcPr>
            <w:tcW w:w="1417"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spacing w:line="240" w:lineRule="auto"/>
              <w:rPr>
                <w:lang w:eastAsia="en-US"/>
              </w:rPr>
            </w:pPr>
            <w:r>
              <w:t xml:space="preserve">Feixe de sacos de fibra, com aproximadamente 20 cm de </w:t>
            </w:r>
            <w:proofErr w:type="gramStart"/>
            <w:r>
              <w:t>comprimento</w:t>
            </w:r>
            <w:proofErr w:type="gramEnd"/>
          </w:p>
        </w:tc>
        <w:tc>
          <w:tcPr>
            <w:tcW w:w="1843"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spacing w:line="240" w:lineRule="auto"/>
              <w:rPr>
                <w:lang w:eastAsia="en-US"/>
              </w:rPr>
            </w:pPr>
            <w:r>
              <w:br/>
              <w:t xml:space="preserve">É armado na toca do caranguejo, ficando uma extremidade presa por um galho na abertura </w:t>
            </w:r>
            <w:r>
              <w:lastRenderedPageBreak/>
              <w:t>da toca.</w:t>
            </w:r>
          </w:p>
        </w:tc>
        <w:tc>
          <w:tcPr>
            <w:tcW w:w="992"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spacing w:line="240" w:lineRule="auto"/>
              <w:rPr>
                <w:lang w:eastAsia="en-US"/>
              </w:rPr>
            </w:pPr>
            <w:r>
              <w:lastRenderedPageBreak/>
              <w:t>Passiva</w:t>
            </w:r>
          </w:p>
        </w:tc>
        <w:tc>
          <w:tcPr>
            <w:tcW w:w="1559" w:type="dxa"/>
            <w:tcBorders>
              <w:top w:val="single" w:sz="4" w:space="0" w:color="auto"/>
              <w:left w:val="single" w:sz="4" w:space="0" w:color="auto"/>
              <w:bottom w:val="single" w:sz="4" w:space="0" w:color="auto"/>
              <w:right w:val="single" w:sz="4" w:space="0" w:color="auto"/>
            </w:tcBorders>
            <w:vAlign w:val="center"/>
            <w:hideMark/>
          </w:tcPr>
          <w:p w:rsidR="009C776E" w:rsidRDefault="009C776E" w:rsidP="009C776E">
            <w:pPr>
              <w:spacing w:line="240" w:lineRule="auto"/>
              <w:rPr>
                <w:lang w:eastAsia="en-US"/>
              </w:rPr>
            </w:pPr>
            <w:r>
              <w:t>Caranguejo</w:t>
            </w:r>
          </w:p>
        </w:tc>
        <w:tc>
          <w:tcPr>
            <w:tcW w:w="2126" w:type="dxa"/>
            <w:tcBorders>
              <w:top w:val="single" w:sz="4" w:space="0" w:color="auto"/>
              <w:left w:val="single" w:sz="4" w:space="0" w:color="auto"/>
              <w:bottom w:val="single" w:sz="4" w:space="0" w:color="auto"/>
              <w:right w:val="nil"/>
            </w:tcBorders>
            <w:vAlign w:val="center"/>
            <w:hideMark/>
          </w:tcPr>
          <w:p w:rsidR="009C776E" w:rsidRDefault="009C776E" w:rsidP="009C776E">
            <w:pPr>
              <w:spacing w:line="240" w:lineRule="auto"/>
              <w:rPr>
                <w:noProof/>
                <w:lang w:eastAsia="en-US"/>
              </w:rPr>
            </w:pPr>
            <w:r>
              <w:rPr>
                <w:noProof/>
              </w:rPr>
              <w:t>--</w:t>
            </w:r>
          </w:p>
        </w:tc>
      </w:tr>
    </w:tbl>
    <w:p w:rsidR="009C776E" w:rsidRDefault="009C776E" w:rsidP="009C776E">
      <w:pPr>
        <w:spacing w:line="240" w:lineRule="auto"/>
        <w:rPr>
          <w:rFonts w:eastAsiaTheme="minorHAnsi"/>
          <w:color w:val="000000" w:themeColor="text1"/>
          <w:shd w:val="clear" w:color="auto" w:fill="FFFFFF"/>
          <w:lang w:eastAsia="en-US"/>
        </w:rPr>
      </w:pPr>
      <w:r>
        <w:rPr>
          <w:color w:val="000000" w:themeColor="text1"/>
          <w:shd w:val="clear" w:color="auto" w:fill="FFFFFF"/>
        </w:rPr>
        <w:lastRenderedPageBreak/>
        <w:t xml:space="preserve">Fonte: </w:t>
      </w:r>
      <w:proofErr w:type="spellStart"/>
      <w:proofErr w:type="gramStart"/>
      <w:r>
        <w:rPr>
          <w:color w:val="000000" w:themeColor="text1"/>
          <w:shd w:val="clear" w:color="auto" w:fill="FFFFFF"/>
        </w:rPr>
        <w:t>MarBrasil</w:t>
      </w:r>
      <w:proofErr w:type="spellEnd"/>
      <w:proofErr w:type="gramEnd"/>
      <w:r>
        <w:rPr>
          <w:color w:val="000000" w:themeColor="text1"/>
          <w:shd w:val="clear" w:color="auto" w:fill="FFFFFF"/>
        </w:rPr>
        <w:t>.</w:t>
      </w:r>
      <w:r>
        <w:rPr>
          <w:color w:val="000000" w:themeColor="text1"/>
          <w:shd w:val="clear" w:color="auto" w:fill="FFFFFF"/>
        </w:rPr>
        <w:br/>
        <w:t xml:space="preserve">Elaboração: Mafra (2012). </w:t>
      </w:r>
    </w:p>
    <w:p w:rsidR="009C776E" w:rsidRDefault="009C776E" w:rsidP="009C776E">
      <w:pPr>
        <w:spacing w:line="240" w:lineRule="auto"/>
        <w:rPr>
          <w:color w:val="000000" w:themeColor="text1"/>
          <w:sz w:val="24"/>
          <w:shd w:val="clear" w:color="auto" w:fill="FFFFFF"/>
        </w:rPr>
      </w:pPr>
    </w:p>
    <w:p w:rsidR="009C776E" w:rsidRDefault="009C776E" w:rsidP="009C776E">
      <w:pPr>
        <w:ind w:firstLine="708"/>
        <w:jc w:val="both"/>
        <w:rPr>
          <w:color w:val="000000" w:themeColor="text1"/>
          <w:sz w:val="24"/>
          <w:szCs w:val="24"/>
          <w:shd w:val="clear" w:color="auto" w:fill="FFFFFF"/>
        </w:rPr>
      </w:pPr>
      <w:r>
        <w:rPr>
          <w:color w:val="000000" w:themeColor="text1"/>
          <w:sz w:val="24"/>
          <w:szCs w:val="24"/>
          <w:shd w:val="clear" w:color="auto" w:fill="FFFFFF"/>
        </w:rPr>
        <w:t xml:space="preserve">As informações sobre a dinâmica da pesca amadora e esportiva e os mergulhos contemplativos são escassas quanto às áreas afetadas, espécies capturadas e estruturas organizacionais (CASTELLA </w:t>
      </w:r>
      <w:proofErr w:type="gramStart"/>
      <w:r>
        <w:rPr>
          <w:i/>
          <w:color w:val="000000" w:themeColor="text1"/>
          <w:sz w:val="24"/>
          <w:szCs w:val="24"/>
          <w:shd w:val="clear" w:color="auto" w:fill="FFFFFF"/>
        </w:rPr>
        <w:t>et</w:t>
      </w:r>
      <w:proofErr w:type="gramEnd"/>
      <w:r>
        <w:rPr>
          <w:i/>
          <w:color w:val="000000" w:themeColor="text1"/>
          <w:sz w:val="24"/>
          <w:szCs w:val="24"/>
          <w:shd w:val="clear" w:color="auto" w:fill="FFFFFF"/>
        </w:rPr>
        <w:t xml:space="preserve"> al</w:t>
      </w:r>
      <w:r>
        <w:rPr>
          <w:color w:val="000000" w:themeColor="text1"/>
          <w:sz w:val="24"/>
          <w:szCs w:val="24"/>
          <w:shd w:val="clear" w:color="auto" w:fill="FFFFFF"/>
        </w:rPr>
        <w:t xml:space="preserve">, 2006). Estas atividades são importantes para entender a produtividade biológica e a conservação das paisagens marinhas, pois demandam áreas preservadas nos ambientes estuarinos e costeiros. </w:t>
      </w:r>
    </w:p>
    <w:p w:rsidR="009C776E" w:rsidRDefault="009C776E" w:rsidP="009C776E">
      <w:pPr>
        <w:jc w:val="both"/>
        <w:rPr>
          <w:color w:val="000000" w:themeColor="text1"/>
          <w:sz w:val="24"/>
          <w:szCs w:val="24"/>
          <w:shd w:val="clear" w:color="auto" w:fill="FFFFFF"/>
        </w:rPr>
      </w:pPr>
      <w:r>
        <w:rPr>
          <w:color w:val="000000" w:themeColor="text1"/>
          <w:sz w:val="24"/>
          <w:szCs w:val="24"/>
          <w:shd w:val="clear" w:color="auto" w:fill="FFFFFF"/>
        </w:rPr>
        <w:tab/>
        <w:t>A categorização da pesca é muito útil e importante para se compreender a diversidade de formas de captura, as estruturas socioeconômicas envolvidas e os efeitos dos conflitos de interesses de cada grupo. Porém, esta metodologia não é eficaz para descrever a pesca de pequena escala, em razão de cada região possuir particularidades diferentes e apresentar um contexto histórico baseados em suas formas únicas de uso de território (MAFRA, 2012).</w:t>
      </w:r>
    </w:p>
    <w:p w:rsidR="009C776E" w:rsidRDefault="009C776E" w:rsidP="009C776E">
      <w:pPr>
        <w:ind w:firstLine="708"/>
        <w:jc w:val="both"/>
        <w:rPr>
          <w:sz w:val="24"/>
          <w:szCs w:val="24"/>
        </w:rPr>
      </w:pPr>
      <w:r>
        <w:rPr>
          <w:color w:val="000000" w:themeColor="text1"/>
          <w:sz w:val="24"/>
          <w:szCs w:val="24"/>
          <w:shd w:val="clear" w:color="auto" w:fill="FFFFFF"/>
        </w:rPr>
        <w:t xml:space="preserve">O extrativismo de ostras, sururus, </w:t>
      </w:r>
      <w:proofErr w:type="spellStart"/>
      <w:r>
        <w:rPr>
          <w:color w:val="000000" w:themeColor="text1"/>
          <w:sz w:val="24"/>
          <w:szCs w:val="24"/>
          <w:shd w:val="clear" w:color="auto" w:fill="FFFFFF"/>
        </w:rPr>
        <w:t>bacucus</w:t>
      </w:r>
      <w:proofErr w:type="spellEnd"/>
      <w:r>
        <w:rPr>
          <w:color w:val="000000" w:themeColor="text1"/>
          <w:sz w:val="24"/>
          <w:szCs w:val="24"/>
          <w:shd w:val="clear" w:color="auto" w:fill="FFFFFF"/>
        </w:rPr>
        <w:t xml:space="preserve">, siris e caranguejos são muito importantes nas áreas estuarinas onde existem manguezais, baixios e costões rochosos (CASTELLA </w:t>
      </w:r>
      <w:proofErr w:type="gramStart"/>
      <w:r>
        <w:rPr>
          <w:i/>
          <w:color w:val="000000" w:themeColor="text1"/>
          <w:sz w:val="24"/>
          <w:szCs w:val="24"/>
          <w:shd w:val="clear" w:color="auto" w:fill="FFFFFF"/>
        </w:rPr>
        <w:t>et</w:t>
      </w:r>
      <w:proofErr w:type="gramEnd"/>
      <w:r>
        <w:rPr>
          <w:i/>
          <w:color w:val="000000" w:themeColor="text1"/>
          <w:sz w:val="24"/>
          <w:szCs w:val="24"/>
          <w:shd w:val="clear" w:color="auto" w:fill="FFFFFF"/>
        </w:rPr>
        <w:t xml:space="preserve"> al</w:t>
      </w:r>
      <w:r>
        <w:rPr>
          <w:color w:val="000000" w:themeColor="text1"/>
          <w:sz w:val="24"/>
          <w:szCs w:val="24"/>
          <w:shd w:val="clear" w:color="auto" w:fill="FFFFFF"/>
        </w:rPr>
        <w:t>, 2006), porém, as técnicas de captura e os períodos de produção e defeso das espécies são essenciais para fins de preservação, conservando a reprodução e manutenção nos ecossistemas e protegendo as fases mais críticas dos seus ciclos de vida. Atualmente</w:t>
      </w:r>
      <w:r>
        <w:rPr>
          <w:sz w:val="24"/>
          <w:szCs w:val="24"/>
        </w:rPr>
        <w:t>, a extração do caranguejo uçá (</w:t>
      </w:r>
      <w:proofErr w:type="spellStart"/>
      <w:r>
        <w:rPr>
          <w:i/>
          <w:sz w:val="24"/>
          <w:szCs w:val="24"/>
        </w:rPr>
        <w:t>Ucides</w:t>
      </w:r>
      <w:proofErr w:type="spellEnd"/>
      <w:r>
        <w:rPr>
          <w:i/>
          <w:sz w:val="24"/>
          <w:szCs w:val="24"/>
        </w:rPr>
        <w:t xml:space="preserve"> </w:t>
      </w:r>
      <w:proofErr w:type="spellStart"/>
      <w:r>
        <w:rPr>
          <w:i/>
          <w:sz w:val="24"/>
          <w:szCs w:val="24"/>
        </w:rPr>
        <w:t>cordatus</w:t>
      </w:r>
      <w:proofErr w:type="spellEnd"/>
      <w:r>
        <w:rPr>
          <w:sz w:val="24"/>
          <w:szCs w:val="24"/>
        </w:rPr>
        <w:t>) é feita pelo método do lacinho, entre os meses de dezembro e março, ou da andada, que ocorre nas primeiras luas de sizígia dos meses de dezembro e janeiro (FISCARELLI &amp; PINHEIRO, 2002). O período de defeso do caranguejo uçá é de outubro a dezembro. A captura de ostras (</w:t>
      </w:r>
      <w:proofErr w:type="spellStart"/>
      <w:r>
        <w:rPr>
          <w:i/>
          <w:iCs/>
          <w:sz w:val="24"/>
          <w:szCs w:val="24"/>
        </w:rPr>
        <w:t>Crassostrea</w:t>
      </w:r>
      <w:proofErr w:type="spellEnd"/>
      <w:r>
        <w:rPr>
          <w:i/>
          <w:iCs/>
          <w:sz w:val="24"/>
          <w:szCs w:val="24"/>
        </w:rPr>
        <w:t xml:space="preserve"> </w:t>
      </w:r>
      <w:proofErr w:type="spellStart"/>
      <w:r>
        <w:rPr>
          <w:i/>
          <w:iCs/>
          <w:sz w:val="24"/>
          <w:szCs w:val="24"/>
        </w:rPr>
        <w:t>rhizophorae</w:t>
      </w:r>
      <w:proofErr w:type="spellEnd"/>
      <w:r>
        <w:rPr>
          <w:i/>
          <w:iCs/>
          <w:sz w:val="24"/>
          <w:szCs w:val="24"/>
        </w:rPr>
        <w:t xml:space="preserve"> </w:t>
      </w:r>
      <w:r>
        <w:rPr>
          <w:sz w:val="24"/>
          <w:szCs w:val="24"/>
        </w:rPr>
        <w:t xml:space="preserve">e </w:t>
      </w:r>
      <w:proofErr w:type="spellStart"/>
      <w:r>
        <w:rPr>
          <w:i/>
          <w:iCs/>
          <w:sz w:val="24"/>
          <w:szCs w:val="24"/>
        </w:rPr>
        <w:t>Crassostrea</w:t>
      </w:r>
      <w:proofErr w:type="spellEnd"/>
      <w:r>
        <w:rPr>
          <w:i/>
          <w:iCs/>
          <w:sz w:val="24"/>
          <w:szCs w:val="24"/>
        </w:rPr>
        <w:t xml:space="preserve"> brasiliana</w:t>
      </w:r>
      <w:r>
        <w:rPr>
          <w:sz w:val="24"/>
          <w:szCs w:val="24"/>
        </w:rPr>
        <w:t xml:space="preserve">), com período de defeso entre os meses de dezembro e fevereiro, e de </w:t>
      </w:r>
      <w:proofErr w:type="spellStart"/>
      <w:r>
        <w:rPr>
          <w:sz w:val="24"/>
          <w:szCs w:val="24"/>
        </w:rPr>
        <w:t>bacucu</w:t>
      </w:r>
      <w:proofErr w:type="spellEnd"/>
      <w:r>
        <w:rPr>
          <w:sz w:val="24"/>
          <w:szCs w:val="24"/>
        </w:rPr>
        <w:t xml:space="preserve"> (</w:t>
      </w:r>
      <w:proofErr w:type="spellStart"/>
      <w:r>
        <w:rPr>
          <w:i/>
          <w:iCs/>
          <w:sz w:val="24"/>
          <w:szCs w:val="24"/>
        </w:rPr>
        <w:t>Mytella</w:t>
      </w:r>
      <w:proofErr w:type="spellEnd"/>
      <w:r>
        <w:rPr>
          <w:i/>
          <w:iCs/>
          <w:sz w:val="24"/>
          <w:szCs w:val="24"/>
        </w:rPr>
        <w:t xml:space="preserve"> </w:t>
      </w:r>
      <w:proofErr w:type="spellStart"/>
      <w:r>
        <w:rPr>
          <w:i/>
          <w:iCs/>
          <w:sz w:val="24"/>
          <w:szCs w:val="24"/>
        </w:rPr>
        <w:t>guyanensis</w:t>
      </w:r>
      <w:proofErr w:type="spellEnd"/>
      <w:r>
        <w:rPr>
          <w:sz w:val="24"/>
          <w:szCs w:val="24"/>
        </w:rPr>
        <w:t>), são realizadas manualmente, com maior intensidade nos meses de inverno.</w:t>
      </w:r>
    </w:p>
    <w:p w:rsidR="009C776E" w:rsidRDefault="009C776E" w:rsidP="009C776E">
      <w:pPr>
        <w:ind w:firstLine="708"/>
        <w:jc w:val="both"/>
        <w:rPr>
          <w:color w:val="000000" w:themeColor="text1"/>
          <w:sz w:val="24"/>
          <w:szCs w:val="24"/>
          <w:shd w:val="clear" w:color="auto" w:fill="FFFFFF"/>
        </w:rPr>
      </w:pPr>
      <w:r>
        <w:rPr>
          <w:color w:val="000000" w:themeColor="text1"/>
          <w:sz w:val="24"/>
          <w:szCs w:val="24"/>
          <w:shd w:val="clear" w:color="auto" w:fill="FFFFFF"/>
        </w:rPr>
        <w:t xml:space="preserve"> Historicamente, as comunidades do litoral paranaense se inclinaram para espécies facilmente encontradas na região, como </w:t>
      </w:r>
      <w:r>
        <w:rPr>
          <w:color w:val="000000" w:themeColor="text1"/>
          <w:sz w:val="24"/>
          <w:szCs w:val="24"/>
        </w:rPr>
        <w:t>a ostra do mangue (</w:t>
      </w:r>
      <w:proofErr w:type="spellStart"/>
      <w:r>
        <w:rPr>
          <w:i/>
          <w:color w:val="000000" w:themeColor="text1"/>
          <w:sz w:val="24"/>
          <w:szCs w:val="24"/>
        </w:rPr>
        <w:t>Crassostrea</w:t>
      </w:r>
      <w:proofErr w:type="spellEnd"/>
      <w:r>
        <w:rPr>
          <w:i/>
          <w:color w:val="000000" w:themeColor="text1"/>
          <w:sz w:val="24"/>
          <w:szCs w:val="24"/>
        </w:rPr>
        <w:t xml:space="preserve"> </w:t>
      </w:r>
      <w:proofErr w:type="spellStart"/>
      <w:r>
        <w:rPr>
          <w:i/>
          <w:color w:val="000000" w:themeColor="text1"/>
          <w:sz w:val="24"/>
          <w:szCs w:val="24"/>
        </w:rPr>
        <w:t>rizophorae</w:t>
      </w:r>
      <w:proofErr w:type="spellEnd"/>
      <w:r>
        <w:rPr>
          <w:color w:val="000000" w:themeColor="text1"/>
          <w:sz w:val="24"/>
          <w:szCs w:val="24"/>
        </w:rPr>
        <w:t>), o mexilhão (</w:t>
      </w:r>
      <w:proofErr w:type="gramStart"/>
      <w:r>
        <w:rPr>
          <w:i/>
          <w:color w:val="000000" w:themeColor="text1"/>
          <w:sz w:val="24"/>
          <w:szCs w:val="24"/>
        </w:rPr>
        <w:t xml:space="preserve">Perna </w:t>
      </w:r>
      <w:proofErr w:type="spellStart"/>
      <w:r>
        <w:rPr>
          <w:i/>
          <w:color w:val="000000" w:themeColor="text1"/>
          <w:sz w:val="24"/>
          <w:szCs w:val="24"/>
        </w:rPr>
        <w:t>perna</w:t>
      </w:r>
      <w:proofErr w:type="spellEnd"/>
      <w:proofErr w:type="gramEnd"/>
      <w:r>
        <w:rPr>
          <w:color w:val="000000" w:themeColor="text1"/>
          <w:sz w:val="24"/>
          <w:szCs w:val="24"/>
        </w:rPr>
        <w:t xml:space="preserve">), o </w:t>
      </w:r>
      <w:proofErr w:type="spellStart"/>
      <w:r>
        <w:rPr>
          <w:color w:val="000000" w:themeColor="text1"/>
          <w:sz w:val="24"/>
          <w:szCs w:val="24"/>
        </w:rPr>
        <w:t>berbigão</w:t>
      </w:r>
      <w:proofErr w:type="spellEnd"/>
      <w:r>
        <w:rPr>
          <w:color w:val="000000" w:themeColor="text1"/>
          <w:sz w:val="24"/>
          <w:szCs w:val="24"/>
        </w:rPr>
        <w:t xml:space="preserve"> (</w:t>
      </w:r>
      <w:proofErr w:type="spellStart"/>
      <w:r>
        <w:rPr>
          <w:i/>
          <w:color w:val="000000" w:themeColor="text1"/>
          <w:sz w:val="24"/>
          <w:szCs w:val="24"/>
        </w:rPr>
        <w:t>Anomalocardia</w:t>
      </w:r>
      <w:proofErr w:type="spellEnd"/>
      <w:r>
        <w:rPr>
          <w:i/>
          <w:color w:val="000000" w:themeColor="text1"/>
          <w:sz w:val="24"/>
          <w:szCs w:val="24"/>
        </w:rPr>
        <w:t xml:space="preserve"> brasiliana</w:t>
      </w:r>
      <w:r>
        <w:rPr>
          <w:color w:val="000000" w:themeColor="text1"/>
          <w:sz w:val="24"/>
          <w:szCs w:val="24"/>
        </w:rPr>
        <w:t xml:space="preserve">) e o </w:t>
      </w:r>
      <w:r>
        <w:rPr>
          <w:rStyle w:val="nfase"/>
          <w:color w:val="000000" w:themeColor="text1"/>
          <w:sz w:val="24"/>
          <w:szCs w:val="24"/>
          <w:shd w:val="clear" w:color="auto" w:fill="FFFFFF"/>
        </w:rPr>
        <w:t>camarão branco</w:t>
      </w:r>
      <w:r>
        <w:rPr>
          <w:rStyle w:val="apple-converted-space"/>
          <w:color w:val="000000" w:themeColor="text1"/>
          <w:sz w:val="24"/>
          <w:szCs w:val="24"/>
          <w:shd w:val="clear" w:color="auto" w:fill="FFFFFF"/>
        </w:rPr>
        <w:t> </w:t>
      </w:r>
      <w:r>
        <w:rPr>
          <w:color w:val="000000" w:themeColor="text1"/>
          <w:sz w:val="24"/>
          <w:szCs w:val="24"/>
          <w:shd w:val="clear" w:color="auto" w:fill="FFFFFF"/>
        </w:rPr>
        <w:t>(</w:t>
      </w:r>
      <w:proofErr w:type="spellStart"/>
      <w:r>
        <w:rPr>
          <w:color w:val="000000" w:themeColor="text1"/>
          <w:sz w:val="24"/>
          <w:szCs w:val="24"/>
          <w:shd w:val="clear" w:color="auto" w:fill="FFFFFF"/>
        </w:rPr>
        <w:t>Litopenaeus</w:t>
      </w:r>
      <w:proofErr w:type="spellEnd"/>
      <w:r>
        <w:rPr>
          <w:color w:val="000000" w:themeColor="text1"/>
          <w:sz w:val="24"/>
          <w:szCs w:val="24"/>
          <w:shd w:val="clear" w:color="auto" w:fill="FFFFFF"/>
        </w:rPr>
        <w:t xml:space="preserve"> </w:t>
      </w:r>
      <w:proofErr w:type="spellStart"/>
      <w:r>
        <w:rPr>
          <w:color w:val="000000" w:themeColor="text1"/>
          <w:sz w:val="24"/>
          <w:szCs w:val="24"/>
          <w:shd w:val="clear" w:color="auto" w:fill="FFFFFF"/>
        </w:rPr>
        <w:t>schmitti</w:t>
      </w:r>
      <w:proofErr w:type="spellEnd"/>
      <w:r>
        <w:rPr>
          <w:color w:val="000000" w:themeColor="text1"/>
          <w:sz w:val="24"/>
          <w:szCs w:val="24"/>
          <w:shd w:val="clear" w:color="auto" w:fill="FFFFFF"/>
        </w:rPr>
        <w:t xml:space="preserve">), e consequentemente encontraram um </w:t>
      </w:r>
      <w:r>
        <w:rPr>
          <w:color w:val="000000" w:themeColor="text1"/>
          <w:sz w:val="24"/>
          <w:szCs w:val="24"/>
          <w:shd w:val="clear" w:color="auto" w:fill="FFFFFF"/>
        </w:rPr>
        <w:lastRenderedPageBreak/>
        <w:t xml:space="preserve">potencial produtivo para o cultivo destas espécies, pois destinavam menores esforços de captura. </w:t>
      </w:r>
    </w:p>
    <w:p w:rsidR="009C776E" w:rsidRDefault="009C776E" w:rsidP="009C776E">
      <w:pPr>
        <w:jc w:val="both"/>
        <w:rPr>
          <w:color w:val="000000" w:themeColor="text1"/>
          <w:sz w:val="24"/>
          <w:szCs w:val="24"/>
          <w:shd w:val="clear" w:color="auto" w:fill="FFFFFF"/>
        </w:rPr>
      </w:pPr>
      <w:r>
        <w:rPr>
          <w:color w:val="000000" w:themeColor="text1"/>
          <w:sz w:val="24"/>
          <w:szCs w:val="24"/>
          <w:shd w:val="clear" w:color="auto" w:fill="FFFFFF"/>
        </w:rPr>
        <w:tab/>
        <w:t>As espécies nativas de camarões marinhos, como o camarão branco (</w:t>
      </w:r>
      <w:proofErr w:type="spellStart"/>
      <w:r>
        <w:rPr>
          <w:i/>
          <w:color w:val="000000" w:themeColor="text1"/>
          <w:sz w:val="24"/>
          <w:szCs w:val="24"/>
          <w:shd w:val="clear" w:color="auto" w:fill="FFFFFF"/>
        </w:rPr>
        <w:t>Litopenaeus</w:t>
      </w:r>
      <w:proofErr w:type="spellEnd"/>
      <w:r>
        <w:rPr>
          <w:i/>
          <w:color w:val="000000" w:themeColor="text1"/>
          <w:sz w:val="24"/>
          <w:szCs w:val="24"/>
          <w:shd w:val="clear" w:color="auto" w:fill="FFFFFF"/>
        </w:rPr>
        <w:t xml:space="preserve"> </w:t>
      </w:r>
      <w:proofErr w:type="spellStart"/>
      <w:r>
        <w:rPr>
          <w:i/>
          <w:color w:val="000000" w:themeColor="text1"/>
          <w:sz w:val="24"/>
          <w:szCs w:val="24"/>
          <w:shd w:val="clear" w:color="auto" w:fill="FFFFFF"/>
        </w:rPr>
        <w:t>schimitti</w:t>
      </w:r>
      <w:proofErr w:type="spellEnd"/>
      <w:r>
        <w:rPr>
          <w:color w:val="000000" w:themeColor="text1"/>
          <w:sz w:val="24"/>
          <w:szCs w:val="24"/>
          <w:shd w:val="clear" w:color="auto" w:fill="FFFFFF"/>
        </w:rPr>
        <w:t>)</w:t>
      </w:r>
      <w:r>
        <w:rPr>
          <w:i/>
          <w:color w:val="000000" w:themeColor="text1"/>
          <w:sz w:val="24"/>
          <w:szCs w:val="24"/>
          <w:shd w:val="clear" w:color="auto" w:fill="FFFFFF"/>
        </w:rPr>
        <w:t xml:space="preserve"> </w:t>
      </w:r>
      <w:r>
        <w:rPr>
          <w:color w:val="000000" w:themeColor="text1"/>
          <w:sz w:val="24"/>
          <w:szCs w:val="24"/>
          <w:shd w:val="clear" w:color="auto" w:fill="FFFFFF"/>
        </w:rPr>
        <w:t>e o camarão rosa (</w:t>
      </w:r>
      <w:proofErr w:type="spellStart"/>
      <w:r>
        <w:rPr>
          <w:i/>
          <w:sz w:val="24"/>
          <w:szCs w:val="24"/>
        </w:rPr>
        <w:t>Farfantepenaeus</w:t>
      </w:r>
      <w:proofErr w:type="spellEnd"/>
      <w:r>
        <w:rPr>
          <w:i/>
          <w:sz w:val="24"/>
          <w:szCs w:val="24"/>
        </w:rPr>
        <w:t xml:space="preserve"> </w:t>
      </w:r>
      <w:proofErr w:type="spellStart"/>
      <w:r>
        <w:rPr>
          <w:i/>
          <w:sz w:val="24"/>
          <w:szCs w:val="24"/>
        </w:rPr>
        <w:t>paulensis</w:t>
      </w:r>
      <w:proofErr w:type="spellEnd"/>
      <w:r>
        <w:rPr>
          <w:sz w:val="24"/>
          <w:szCs w:val="24"/>
        </w:rPr>
        <w:t xml:space="preserve">), foram e continuam sendo cultivadas por produtores aquícolas, porém seus resultados iniciais se tornaram pouco satisfatórios do ponto de vista produtivo e econômico para as comunidades. Em consequência disso, os </w:t>
      </w:r>
      <w:proofErr w:type="spellStart"/>
      <w:r>
        <w:rPr>
          <w:sz w:val="24"/>
          <w:szCs w:val="24"/>
        </w:rPr>
        <w:t>aquicultores</w:t>
      </w:r>
      <w:proofErr w:type="spellEnd"/>
      <w:r>
        <w:rPr>
          <w:sz w:val="24"/>
          <w:szCs w:val="24"/>
        </w:rPr>
        <w:t xml:space="preserve"> introduziram o cultivo do camarão cinza (</w:t>
      </w:r>
      <w:proofErr w:type="spellStart"/>
      <w:r>
        <w:rPr>
          <w:i/>
          <w:sz w:val="24"/>
          <w:szCs w:val="24"/>
        </w:rPr>
        <w:t>Litopenaeus</w:t>
      </w:r>
      <w:proofErr w:type="spellEnd"/>
      <w:r>
        <w:rPr>
          <w:i/>
          <w:sz w:val="24"/>
          <w:szCs w:val="24"/>
        </w:rPr>
        <w:t xml:space="preserve"> </w:t>
      </w:r>
      <w:proofErr w:type="spellStart"/>
      <w:r>
        <w:rPr>
          <w:i/>
          <w:sz w:val="24"/>
          <w:szCs w:val="24"/>
        </w:rPr>
        <w:t>vannamei</w:t>
      </w:r>
      <w:proofErr w:type="spellEnd"/>
      <w:r>
        <w:rPr>
          <w:sz w:val="24"/>
          <w:szCs w:val="24"/>
        </w:rPr>
        <w:t>)</w:t>
      </w:r>
      <w:r>
        <w:rPr>
          <w:i/>
          <w:sz w:val="24"/>
          <w:szCs w:val="24"/>
        </w:rPr>
        <w:t xml:space="preserve">, </w:t>
      </w:r>
      <w:r>
        <w:rPr>
          <w:sz w:val="24"/>
          <w:szCs w:val="24"/>
        </w:rPr>
        <w:t xml:space="preserve">que é uma espécie exótica do Oceano Pacífico, com produção aproximada de 70 a 110 toneladas ao ano (CASTELLA </w:t>
      </w:r>
      <w:proofErr w:type="gramStart"/>
      <w:r>
        <w:rPr>
          <w:i/>
          <w:sz w:val="24"/>
          <w:szCs w:val="24"/>
        </w:rPr>
        <w:t>et</w:t>
      </w:r>
      <w:proofErr w:type="gramEnd"/>
      <w:r>
        <w:rPr>
          <w:i/>
          <w:sz w:val="24"/>
          <w:szCs w:val="24"/>
        </w:rPr>
        <w:t xml:space="preserve"> al</w:t>
      </w:r>
      <w:r>
        <w:rPr>
          <w:sz w:val="24"/>
          <w:szCs w:val="24"/>
        </w:rPr>
        <w:t xml:space="preserve">, 2006), e tem ocasionado um dos maiores conflitos sobre </w:t>
      </w:r>
      <w:proofErr w:type="spellStart"/>
      <w:r>
        <w:rPr>
          <w:sz w:val="24"/>
          <w:szCs w:val="24"/>
        </w:rPr>
        <w:t>carcinicultura</w:t>
      </w:r>
      <w:proofErr w:type="spellEnd"/>
      <w:r>
        <w:rPr>
          <w:sz w:val="24"/>
          <w:szCs w:val="24"/>
        </w:rPr>
        <w:t xml:space="preserve"> na região.</w:t>
      </w:r>
      <w:r>
        <w:rPr>
          <w:color w:val="000000" w:themeColor="text1"/>
          <w:sz w:val="24"/>
          <w:szCs w:val="24"/>
          <w:shd w:val="clear" w:color="auto" w:fill="FFFFFF"/>
        </w:rPr>
        <w:t xml:space="preserve"> Assim como ocorreu com o cultivo do camarão cinza, a busca por outras espécies exóticas tem proporcionado avanços, do ponto de vista econômico, para as atividades de aquicultura na região. </w:t>
      </w:r>
    </w:p>
    <w:p w:rsidR="009C776E" w:rsidRDefault="009C776E" w:rsidP="009C776E">
      <w:pPr>
        <w:ind w:firstLine="708"/>
        <w:jc w:val="both"/>
        <w:rPr>
          <w:color w:val="000000" w:themeColor="text1"/>
          <w:sz w:val="24"/>
          <w:szCs w:val="24"/>
          <w:shd w:val="clear" w:color="auto" w:fill="FFFFFF"/>
        </w:rPr>
      </w:pPr>
      <w:r>
        <w:rPr>
          <w:color w:val="000000" w:themeColor="text1"/>
          <w:sz w:val="24"/>
          <w:szCs w:val="24"/>
          <w:shd w:val="clear" w:color="auto" w:fill="FFFFFF"/>
        </w:rPr>
        <w:t xml:space="preserve">Os cultivos comerciais que existem no litoral paranaense não são significativos do ponto de vista da produção, em razão da deficiência na estruturação da cadeia produtiva (BORGHETTI </w:t>
      </w:r>
      <w:proofErr w:type="gramStart"/>
      <w:r>
        <w:rPr>
          <w:i/>
          <w:color w:val="000000" w:themeColor="text1"/>
          <w:sz w:val="24"/>
          <w:szCs w:val="24"/>
          <w:shd w:val="clear" w:color="auto" w:fill="FFFFFF"/>
        </w:rPr>
        <w:t>et</w:t>
      </w:r>
      <w:proofErr w:type="gramEnd"/>
      <w:r>
        <w:rPr>
          <w:i/>
          <w:color w:val="000000" w:themeColor="text1"/>
          <w:sz w:val="24"/>
          <w:szCs w:val="24"/>
          <w:shd w:val="clear" w:color="auto" w:fill="FFFFFF"/>
        </w:rPr>
        <w:t xml:space="preserve"> al</w:t>
      </w:r>
      <w:r>
        <w:rPr>
          <w:color w:val="000000" w:themeColor="text1"/>
          <w:sz w:val="24"/>
          <w:szCs w:val="24"/>
          <w:shd w:val="clear" w:color="auto" w:fill="FFFFFF"/>
        </w:rPr>
        <w:t xml:space="preserve">, 2003), porém, a tecnologia tem demonstrado um potencial positivo. As atividades aquícolas na região de estudo apresentam boa qualidade ambiental, pois são aplicadas em áreas com menor concentração de populações e de atividades industriais e portuárias, em relação aos grandes centros urbanos (CASTELLA </w:t>
      </w:r>
      <w:proofErr w:type="gramStart"/>
      <w:r>
        <w:rPr>
          <w:i/>
          <w:color w:val="000000" w:themeColor="text1"/>
          <w:sz w:val="24"/>
          <w:szCs w:val="24"/>
          <w:shd w:val="clear" w:color="auto" w:fill="FFFFFF"/>
        </w:rPr>
        <w:t>et</w:t>
      </w:r>
      <w:proofErr w:type="gramEnd"/>
      <w:r>
        <w:rPr>
          <w:i/>
          <w:color w:val="000000" w:themeColor="text1"/>
          <w:sz w:val="24"/>
          <w:szCs w:val="24"/>
          <w:shd w:val="clear" w:color="auto" w:fill="FFFFFF"/>
        </w:rPr>
        <w:t xml:space="preserve"> al</w:t>
      </w:r>
      <w:r>
        <w:rPr>
          <w:color w:val="000000" w:themeColor="text1"/>
          <w:sz w:val="24"/>
          <w:szCs w:val="24"/>
          <w:shd w:val="clear" w:color="auto" w:fill="FFFFFF"/>
        </w:rPr>
        <w:t xml:space="preserve">, 2006) e apresentam cuidados com a padronização de cultivo e tempo de retirada dos organismos, e controles de oxigênio dissolvido e pH. Além disso, a aquicultura na região é beneficiada pela presença de áreas com águas </w:t>
      </w:r>
      <w:proofErr w:type="spellStart"/>
      <w:r>
        <w:rPr>
          <w:color w:val="000000" w:themeColor="text1"/>
          <w:sz w:val="24"/>
          <w:szCs w:val="24"/>
          <w:shd w:val="clear" w:color="auto" w:fill="FFFFFF"/>
        </w:rPr>
        <w:t>euhalinas</w:t>
      </w:r>
      <w:proofErr w:type="spellEnd"/>
      <w:r>
        <w:rPr>
          <w:color w:val="000000" w:themeColor="text1"/>
          <w:sz w:val="24"/>
          <w:szCs w:val="24"/>
          <w:shd w:val="clear" w:color="auto" w:fill="FFFFFF"/>
        </w:rPr>
        <w:t xml:space="preserve"> e com máximos </w:t>
      </w:r>
      <w:proofErr w:type="spellStart"/>
      <w:r>
        <w:rPr>
          <w:color w:val="000000" w:themeColor="text1"/>
          <w:sz w:val="24"/>
          <w:szCs w:val="24"/>
          <w:shd w:val="clear" w:color="auto" w:fill="FFFFFF"/>
        </w:rPr>
        <w:t>subsuperficiais</w:t>
      </w:r>
      <w:proofErr w:type="spellEnd"/>
      <w:r>
        <w:rPr>
          <w:color w:val="000000" w:themeColor="text1"/>
          <w:sz w:val="24"/>
          <w:szCs w:val="24"/>
          <w:shd w:val="clear" w:color="auto" w:fill="FFFFFF"/>
        </w:rPr>
        <w:t xml:space="preserve"> de clorofila durante o ano. </w:t>
      </w:r>
    </w:p>
    <w:p w:rsidR="009C776E" w:rsidRDefault="009C776E" w:rsidP="009C776E">
      <w:pPr>
        <w:ind w:firstLine="708"/>
        <w:jc w:val="both"/>
        <w:rPr>
          <w:color w:val="000000" w:themeColor="text1"/>
          <w:sz w:val="24"/>
          <w:szCs w:val="24"/>
          <w:shd w:val="clear" w:color="auto" w:fill="FFFFFF"/>
        </w:rPr>
      </w:pPr>
      <w:r>
        <w:rPr>
          <w:rFonts w:eastAsia="Calibri"/>
          <w:sz w:val="24"/>
          <w:szCs w:val="24"/>
        </w:rPr>
        <w:t xml:space="preserve">Com o objetivo de desenvolver a maricultura sustentável em enseadas, lagos e baías, o Ministério da Pesca </w:t>
      </w:r>
      <w:proofErr w:type="gramStart"/>
      <w:r>
        <w:rPr>
          <w:rFonts w:eastAsia="Calibri"/>
          <w:sz w:val="24"/>
          <w:szCs w:val="24"/>
        </w:rPr>
        <w:t>implementou</w:t>
      </w:r>
      <w:proofErr w:type="gramEnd"/>
      <w:r>
        <w:rPr>
          <w:rFonts w:eastAsia="Calibri"/>
          <w:sz w:val="24"/>
          <w:szCs w:val="24"/>
        </w:rPr>
        <w:t xml:space="preserve"> o Plano Local de Desenvolvimento da Maricultura (PLDM). Em 2010, o Instituto GIA (Grupo Integrado de Aquicultura) realizou um levantamento detalhado de dados socioeconômicos e ambientais na Baía de Paranaguá e indicou 16 áreas propícias para a </w:t>
      </w:r>
      <w:proofErr w:type="gramStart"/>
      <w:r>
        <w:rPr>
          <w:rFonts w:eastAsia="Calibri"/>
          <w:sz w:val="24"/>
          <w:szCs w:val="24"/>
        </w:rPr>
        <w:t>implementação</w:t>
      </w:r>
      <w:proofErr w:type="gramEnd"/>
      <w:r>
        <w:rPr>
          <w:rFonts w:eastAsia="Calibri"/>
          <w:sz w:val="24"/>
          <w:szCs w:val="24"/>
        </w:rPr>
        <w:t xml:space="preserve"> de parques aquícolas na região. Em 2014, o Ministério da Pesca abriu o processo de licitação para 14 áreas nas Baias de Laranjeiras e Guaraqueçaba. A concessão seria de 20 anos por hectare, porém nenhuma área foi arrendada.</w:t>
      </w:r>
    </w:p>
    <w:p w:rsidR="009C776E" w:rsidRDefault="009C776E" w:rsidP="009C776E">
      <w:pPr>
        <w:ind w:firstLine="708"/>
        <w:jc w:val="both"/>
        <w:rPr>
          <w:color w:val="000000" w:themeColor="text1"/>
          <w:sz w:val="24"/>
          <w:szCs w:val="24"/>
          <w:shd w:val="clear" w:color="auto" w:fill="FFFFFF"/>
        </w:rPr>
      </w:pPr>
      <w:r>
        <w:rPr>
          <w:color w:val="000000" w:themeColor="text1"/>
          <w:sz w:val="24"/>
          <w:szCs w:val="24"/>
          <w:shd w:val="clear" w:color="auto" w:fill="FFFFFF"/>
        </w:rPr>
        <w:lastRenderedPageBreak/>
        <w:t xml:space="preserve">A introdução de novas legislações ambientais e ações de fiscalização ocasionaram em conflitos gerados entre as comunidades pesqueiras e extrativistas e os agentes de Unidades de Conservação. A crescente ocupação e demanda de áreas para aquicultura, pesca predatória e introdução de espécies exóticas tem ocasionado em discussões sobre o significativo aumento da poluição orgânica, a degradação de áreas de restinga e manguezais, e os impactos sociais da pesca desordenada (CASTELLA </w:t>
      </w:r>
      <w:proofErr w:type="gramStart"/>
      <w:r>
        <w:rPr>
          <w:i/>
          <w:color w:val="000000" w:themeColor="text1"/>
          <w:sz w:val="24"/>
          <w:szCs w:val="24"/>
          <w:shd w:val="clear" w:color="auto" w:fill="FFFFFF"/>
        </w:rPr>
        <w:t>et</w:t>
      </w:r>
      <w:proofErr w:type="gramEnd"/>
      <w:r>
        <w:rPr>
          <w:i/>
          <w:color w:val="000000" w:themeColor="text1"/>
          <w:sz w:val="24"/>
          <w:szCs w:val="24"/>
          <w:shd w:val="clear" w:color="auto" w:fill="FFFFFF"/>
        </w:rPr>
        <w:t xml:space="preserve"> al</w:t>
      </w:r>
      <w:r>
        <w:rPr>
          <w:color w:val="000000" w:themeColor="text1"/>
          <w:sz w:val="24"/>
          <w:szCs w:val="24"/>
          <w:shd w:val="clear" w:color="auto" w:fill="FFFFFF"/>
        </w:rPr>
        <w:t xml:space="preserve">, 2006). </w:t>
      </w:r>
    </w:p>
    <w:p w:rsidR="009C776E" w:rsidRDefault="009C776E" w:rsidP="009C776E">
      <w:pPr>
        <w:ind w:firstLine="708"/>
        <w:jc w:val="both"/>
        <w:rPr>
          <w:color w:val="000000" w:themeColor="text1"/>
          <w:sz w:val="24"/>
          <w:szCs w:val="24"/>
          <w:shd w:val="clear" w:color="auto" w:fill="FFFFFF"/>
        </w:rPr>
      </w:pPr>
      <w:r>
        <w:rPr>
          <w:color w:val="000000" w:themeColor="text1"/>
          <w:sz w:val="24"/>
          <w:szCs w:val="24"/>
          <w:shd w:val="clear" w:color="auto" w:fill="FFFFFF"/>
        </w:rPr>
        <w:t xml:space="preserve">Além dos conflitos, as modificações no sistema de gestão e uso e ocupação do território têm alterado a quantidade de pescadores ao longo do tempo. Estas populações tradicionais têm migrado para grandes centros urbanos, em busca de reestruturação do trabalho e novas vias de comércio, e onde a presença de indústrias e meios de transporte é mais viável e eficaz. </w:t>
      </w:r>
    </w:p>
    <w:p w:rsidR="009C776E" w:rsidRDefault="009C776E" w:rsidP="009C776E">
      <w:pPr>
        <w:ind w:firstLine="708"/>
        <w:jc w:val="both"/>
        <w:rPr>
          <w:color w:val="000000" w:themeColor="text1"/>
          <w:sz w:val="24"/>
          <w:szCs w:val="24"/>
          <w:shd w:val="clear" w:color="auto" w:fill="FFFFFF"/>
        </w:rPr>
      </w:pPr>
      <w:r>
        <w:rPr>
          <w:sz w:val="24"/>
          <w:szCs w:val="24"/>
        </w:rPr>
        <w:t xml:space="preserve">A porção central da baía é relativamente mais favorável ao desenvolvimento industrial, pois possui grandes elos de comércio e transporte (CASTELLA </w:t>
      </w:r>
      <w:proofErr w:type="gramStart"/>
      <w:r>
        <w:rPr>
          <w:i/>
          <w:sz w:val="24"/>
          <w:szCs w:val="24"/>
        </w:rPr>
        <w:t>et</w:t>
      </w:r>
      <w:proofErr w:type="gramEnd"/>
      <w:r>
        <w:rPr>
          <w:i/>
          <w:sz w:val="24"/>
          <w:szCs w:val="24"/>
        </w:rPr>
        <w:t xml:space="preserve"> al</w:t>
      </w:r>
      <w:r>
        <w:rPr>
          <w:sz w:val="24"/>
          <w:szCs w:val="24"/>
        </w:rPr>
        <w:t>, 2006). As indústrias se distribuem de forma à valorização do pescado e estruturação dos municípios, e se comunicam diretamente com as colônias de pescadores, porém, em c</w:t>
      </w:r>
      <w:r>
        <w:rPr>
          <w:rFonts w:eastAsia="Calibri"/>
          <w:sz w:val="24"/>
          <w:szCs w:val="24"/>
        </w:rPr>
        <w:t xml:space="preserve">omparação a outras regiões de pesca do Brasil, a região da área de estudo apresenta poucas estruturas organizacionais e indústrias voltadas à pesca, sendo o pescado geralmente comercializado in natura direto para o mercado do peixe (MALHEIROS, 2008; MAFRA, 2012). </w:t>
      </w:r>
      <w:proofErr w:type="gramStart"/>
      <w:r>
        <w:rPr>
          <w:color w:val="000000" w:themeColor="text1"/>
          <w:sz w:val="24"/>
          <w:szCs w:val="24"/>
          <w:shd w:val="clear" w:color="auto" w:fill="FFFFFF"/>
        </w:rPr>
        <w:t>A exemplo</w:t>
      </w:r>
      <w:proofErr w:type="gramEnd"/>
      <w:r>
        <w:rPr>
          <w:color w:val="000000" w:themeColor="text1"/>
          <w:sz w:val="24"/>
          <w:szCs w:val="24"/>
          <w:shd w:val="clear" w:color="auto" w:fill="FFFFFF"/>
        </w:rPr>
        <w:t xml:space="preserve"> observa-se a maricultura empresarial, que é uma atividade desenvolvida recentemente, em razão das dificuldades técnicas do manejo e por possuir elos comerciais </w:t>
      </w:r>
      <w:proofErr w:type="spellStart"/>
      <w:r>
        <w:rPr>
          <w:color w:val="000000" w:themeColor="text1"/>
          <w:sz w:val="24"/>
          <w:szCs w:val="24"/>
          <w:shd w:val="clear" w:color="auto" w:fill="FFFFFF"/>
        </w:rPr>
        <w:t>inconsolidados</w:t>
      </w:r>
      <w:proofErr w:type="spellEnd"/>
      <w:r>
        <w:rPr>
          <w:color w:val="000000" w:themeColor="text1"/>
          <w:sz w:val="24"/>
          <w:szCs w:val="24"/>
          <w:shd w:val="clear" w:color="auto" w:fill="FFFFFF"/>
        </w:rPr>
        <w:t xml:space="preserve"> (CASTELLA </w:t>
      </w:r>
      <w:r>
        <w:rPr>
          <w:i/>
          <w:color w:val="000000" w:themeColor="text1"/>
          <w:sz w:val="24"/>
          <w:szCs w:val="24"/>
          <w:shd w:val="clear" w:color="auto" w:fill="FFFFFF"/>
        </w:rPr>
        <w:t>et al</w:t>
      </w:r>
      <w:r>
        <w:rPr>
          <w:color w:val="000000" w:themeColor="text1"/>
          <w:sz w:val="24"/>
          <w:szCs w:val="24"/>
          <w:shd w:val="clear" w:color="auto" w:fill="FFFFFF"/>
        </w:rPr>
        <w:t xml:space="preserve">, 2006). </w:t>
      </w:r>
    </w:p>
    <w:p w:rsidR="009C776E" w:rsidRDefault="009C776E" w:rsidP="009C776E">
      <w:pPr>
        <w:ind w:firstLine="708"/>
        <w:jc w:val="both"/>
        <w:rPr>
          <w:b/>
          <w:bCs/>
          <w:sz w:val="24"/>
          <w:szCs w:val="24"/>
        </w:rPr>
      </w:pPr>
      <w:r>
        <w:rPr>
          <w:sz w:val="24"/>
          <w:szCs w:val="24"/>
        </w:rPr>
        <w:t xml:space="preserve">A produção de pescados no litoral do Paraná esteve entre 750 e 2.500 toneladas de pescado ao ano, na década de 90, porém os números para distribuição dos desembarques por município provinham </w:t>
      </w:r>
      <w:proofErr w:type="gramStart"/>
      <w:r>
        <w:rPr>
          <w:sz w:val="24"/>
          <w:szCs w:val="24"/>
        </w:rPr>
        <w:t>de estatísticas e diagnósticos incipientes</w:t>
      </w:r>
      <w:proofErr w:type="gramEnd"/>
      <w:r>
        <w:rPr>
          <w:sz w:val="24"/>
          <w:szCs w:val="24"/>
        </w:rPr>
        <w:t xml:space="preserve"> (ANDRIGUETTO, 1999). Em 2009, a produção de pescado esteve próxima a 39.896,5 toneladas, com a maior parcela provinda da aquicultura, com 31.980,2 toneladas (MPA, 2010). Hoje, os monitoramentos da qualidade dos pescados podem ser realizados com alguns softwares, que se baseiam em análises sensoriais, químicas e microbiológicas (FERNANDES, 2006) e são implantados critérios e incentivos para programas que ajudam na redução de resíduos de pesca, e não apenas novas disposições para o descarte e reciclagem (NEUBAUER, 2009).</w:t>
      </w:r>
    </w:p>
    <w:p w:rsidR="009C776E" w:rsidRDefault="009C776E" w:rsidP="009C776E">
      <w:pPr>
        <w:ind w:firstLine="708"/>
        <w:jc w:val="both"/>
        <w:rPr>
          <w:b/>
          <w:bCs/>
          <w:sz w:val="24"/>
          <w:szCs w:val="24"/>
        </w:rPr>
      </w:pPr>
      <w:r>
        <w:rPr>
          <w:sz w:val="24"/>
          <w:szCs w:val="24"/>
        </w:rPr>
        <w:lastRenderedPageBreak/>
        <w:t xml:space="preserve">Entre os munícipios que usufruem dos principais pontos de desembarque estão Guaraqueçaba, Antonina, Pontal do Paraná, Paranaguá e Guaratuba, com destaque de frota para os dois últimos (CASTELLA </w:t>
      </w:r>
      <w:proofErr w:type="gramStart"/>
      <w:r>
        <w:rPr>
          <w:i/>
          <w:sz w:val="24"/>
          <w:szCs w:val="24"/>
        </w:rPr>
        <w:t>et</w:t>
      </w:r>
      <w:proofErr w:type="gramEnd"/>
      <w:r>
        <w:rPr>
          <w:i/>
          <w:sz w:val="24"/>
          <w:szCs w:val="24"/>
        </w:rPr>
        <w:t xml:space="preserve"> al</w:t>
      </w:r>
      <w:r>
        <w:rPr>
          <w:sz w:val="24"/>
          <w:szCs w:val="24"/>
        </w:rPr>
        <w:t>, 2006).</w:t>
      </w:r>
      <w:r>
        <w:rPr>
          <w:rFonts w:eastAsia="Calibri"/>
          <w:sz w:val="24"/>
          <w:szCs w:val="24"/>
        </w:rPr>
        <w:t xml:space="preserve"> Muitos destes desembarques provêm de comunidades que abrangem a área de proteção ambiental de Guaraqueçaba.</w:t>
      </w:r>
    </w:p>
    <w:p w:rsidR="009C776E" w:rsidRDefault="009C776E" w:rsidP="009C776E">
      <w:pPr>
        <w:ind w:firstLine="708"/>
        <w:jc w:val="both"/>
        <w:rPr>
          <w:color w:val="000000" w:themeColor="text1"/>
          <w:sz w:val="24"/>
          <w:szCs w:val="24"/>
          <w:shd w:val="clear" w:color="auto" w:fill="FFFFFF"/>
        </w:rPr>
      </w:pPr>
      <w:r>
        <w:rPr>
          <w:color w:val="000000" w:themeColor="text1"/>
          <w:sz w:val="24"/>
          <w:szCs w:val="24"/>
          <w:shd w:val="clear" w:color="auto" w:fill="FFFFFF"/>
        </w:rPr>
        <w:t xml:space="preserve">Na área de estudo, todas as comunidades tradicionais exercem diferentes formas de economia e algumas se destacam por determinadas pescarias, como por exemplo, Vila das Peças e </w:t>
      </w:r>
      <w:proofErr w:type="spellStart"/>
      <w:r>
        <w:rPr>
          <w:color w:val="000000" w:themeColor="text1"/>
          <w:sz w:val="24"/>
          <w:szCs w:val="24"/>
          <w:shd w:val="clear" w:color="auto" w:fill="FFFFFF"/>
        </w:rPr>
        <w:t>Superagui</w:t>
      </w:r>
      <w:proofErr w:type="spellEnd"/>
      <w:r>
        <w:rPr>
          <w:color w:val="000000" w:themeColor="text1"/>
          <w:sz w:val="24"/>
          <w:szCs w:val="24"/>
          <w:shd w:val="clear" w:color="auto" w:fill="FFFFFF"/>
        </w:rPr>
        <w:t xml:space="preserve"> com o camarão sete-barbas (MALHEIROS, 2008) e Almeida com o caranguejo uçá (MAFRA, 2012), que tem conflitado com as restrições ambientais da ESEC de Guaraqueçaba nas áreas de manguezais (SILVA, 2013) e sofrido diversas alterações estruturais ao longo dos anos (ANDRADE, 2015). Estes recursos pescados são de grande importância, pois funcionam como fonte de renda e sustento para a maioria das comunidades. Dentre eles, o camarão branco, o bagre e a tainha, principalmente no inverno, merecem destaque por proporcionarem facilidade de captura e bons valores econômicos (MAFRA, 2012).</w:t>
      </w:r>
    </w:p>
    <w:p w:rsidR="009C776E" w:rsidRDefault="009C776E" w:rsidP="009C776E">
      <w:pPr>
        <w:ind w:firstLine="709"/>
        <w:jc w:val="both"/>
        <w:rPr>
          <w:color w:val="000000"/>
          <w:sz w:val="24"/>
          <w:szCs w:val="24"/>
        </w:rPr>
      </w:pPr>
      <w:r>
        <w:rPr>
          <w:color w:val="000000"/>
          <w:sz w:val="24"/>
          <w:szCs w:val="24"/>
        </w:rPr>
        <w:t xml:space="preserve">As principais áreas para pesca podem ser identificadas principalmente nas proximidades das ilhas e na desembocadura dos rios e do estuário. Assim, os pescadores têm buscado novas alternativas para conseguir o pescado e, atualmente, tem se estabelecido pontos de pesca importantes em frente aos terminais portuários e no canal de navegação, que liga o Porto de Paranaguá à área externa do Complexo Estuarino de Paranaguá. </w:t>
      </w:r>
    </w:p>
    <w:p w:rsidR="009C776E" w:rsidRDefault="009C776E" w:rsidP="009C776E">
      <w:pPr>
        <w:ind w:firstLine="709"/>
        <w:jc w:val="both"/>
        <w:rPr>
          <w:color w:val="000000"/>
          <w:sz w:val="24"/>
          <w:szCs w:val="24"/>
        </w:rPr>
      </w:pPr>
      <w:r>
        <w:rPr>
          <w:color w:val="000000"/>
          <w:sz w:val="24"/>
          <w:szCs w:val="24"/>
        </w:rPr>
        <w:t xml:space="preserve">As comunidades que mais influenciam na dinâmica da pesca na área de estudo são Vila das Peças, Barra do </w:t>
      </w:r>
      <w:proofErr w:type="spellStart"/>
      <w:r>
        <w:rPr>
          <w:color w:val="000000"/>
          <w:sz w:val="24"/>
          <w:szCs w:val="24"/>
        </w:rPr>
        <w:t>Superagui</w:t>
      </w:r>
      <w:proofErr w:type="spellEnd"/>
      <w:r>
        <w:rPr>
          <w:color w:val="000000"/>
          <w:sz w:val="24"/>
          <w:szCs w:val="24"/>
        </w:rPr>
        <w:t xml:space="preserve">, Ponta do Lanço, Almeida e Ponta da Pita, seguidamente de </w:t>
      </w:r>
      <w:proofErr w:type="spellStart"/>
      <w:r>
        <w:rPr>
          <w:color w:val="000000"/>
          <w:sz w:val="24"/>
          <w:szCs w:val="24"/>
        </w:rPr>
        <w:t>Europinha</w:t>
      </w:r>
      <w:proofErr w:type="spellEnd"/>
      <w:r>
        <w:rPr>
          <w:color w:val="000000"/>
          <w:sz w:val="24"/>
          <w:szCs w:val="24"/>
        </w:rPr>
        <w:t xml:space="preserve">, Amparo, </w:t>
      </w:r>
      <w:proofErr w:type="spellStart"/>
      <w:r>
        <w:rPr>
          <w:color w:val="000000"/>
          <w:sz w:val="24"/>
          <w:szCs w:val="24"/>
        </w:rPr>
        <w:t>Piaçaguera</w:t>
      </w:r>
      <w:proofErr w:type="spellEnd"/>
      <w:r>
        <w:rPr>
          <w:color w:val="000000"/>
          <w:sz w:val="24"/>
          <w:szCs w:val="24"/>
        </w:rPr>
        <w:t xml:space="preserve">, São Miguel, Ponta do Ubá, Medeiros de Baixo, </w:t>
      </w:r>
      <w:proofErr w:type="spellStart"/>
      <w:r>
        <w:rPr>
          <w:color w:val="000000"/>
          <w:sz w:val="24"/>
          <w:szCs w:val="24"/>
        </w:rPr>
        <w:t>Tromomo</w:t>
      </w:r>
      <w:proofErr w:type="spellEnd"/>
      <w:r>
        <w:rPr>
          <w:color w:val="000000"/>
          <w:sz w:val="24"/>
          <w:szCs w:val="24"/>
        </w:rPr>
        <w:t xml:space="preserve">, Costão de Guaraqueçaba, </w:t>
      </w:r>
      <w:proofErr w:type="spellStart"/>
      <w:r>
        <w:rPr>
          <w:color w:val="000000"/>
          <w:sz w:val="24"/>
          <w:szCs w:val="24"/>
        </w:rPr>
        <w:t>Tibicanga</w:t>
      </w:r>
      <w:proofErr w:type="spellEnd"/>
      <w:r>
        <w:rPr>
          <w:color w:val="000000"/>
          <w:sz w:val="24"/>
          <w:szCs w:val="24"/>
        </w:rPr>
        <w:t xml:space="preserve">, Vila Fátima e Barra do </w:t>
      </w:r>
      <w:proofErr w:type="spellStart"/>
      <w:r>
        <w:rPr>
          <w:color w:val="000000"/>
          <w:sz w:val="24"/>
          <w:szCs w:val="24"/>
        </w:rPr>
        <w:t>Ararapira</w:t>
      </w:r>
      <w:proofErr w:type="spellEnd"/>
      <w:r>
        <w:rPr>
          <w:color w:val="000000"/>
          <w:sz w:val="24"/>
          <w:szCs w:val="24"/>
        </w:rPr>
        <w:t xml:space="preserve">. Além destas, outras vilas também realizam este tipo de atividade, porém com menor relevância. São elas: Faisqueira, Nácar, Bela Vista, Ilha das Cobras, Mariana, </w:t>
      </w:r>
      <w:proofErr w:type="spellStart"/>
      <w:r>
        <w:rPr>
          <w:color w:val="000000"/>
          <w:sz w:val="24"/>
          <w:szCs w:val="24"/>
        </w:rPr>
        <w:t>Taquanduva</w:t>
      </w:r>
      <w:proofErr w:type="spellEnd"/>
      <w:r>
        <w:rPr>
          <w:color w:val="000000"/>
          <w:sz w:val="24"/>
          <w:szCs w:val="24"/>
        </w:rPr>
        <w:t xml:space="preserve">, Benito, Cerquinho, </w:t>
      </w:r>
      <w:proofErr w:type="spellStart"/>
      <w:r>
        <w:rPr>
          <w:color w:val="000000"/>
          <w:sz w:val="24"/>
          <w:szCs w:val="24"/>
        </w:rPr>
        <w:t>Poruquara</w:t>
      </w:r>
      <w:proofErr w:type="spellEnd"/>
      <w:r>
        <w:rPr>
          <w:color w:val="000000"/>
          <w:sz w:val="24"/>
          <w:szCs w:val="24"/>
        </w:rPr>
        <w:t xml:space="preserve">, </w:t>
      </w:r>
      <w:proofErr w:type="spellStart"/>
      <w:r>
        <w:rPr>
          <w:color w:val="000000"/>
          <w:sz w:val="24"/>
          <w:szCs w:val="24"/>
        </w:rPr>
        <w:t>Sebui</w:t>
      </w:r>
      <w:proofErr w:type="spellEnd"/>
      <w:r>
        <w:rPr>
          <w:color w:val="000000"/>
          <w:sz w:val="24"/>
          <w:szCs w:val="24"/>
        </w:rPr>
        <w:t xml:space="preserve">, </w:t>
      </w:r>
      <w:proofErr w:type="spellStart"/>
      <w:r>
        <w:rPr>
          <w:color w:val="000000"/>
          <w:sz w:val="24"/>
          <w:szCs w:val="24"/>
        </w:rPr>
        <w:t>Canudal</w:t>
      </w:r>
      <w:proofErr w:type="spellEnd"/>
      <w:r>
        <w:rPr>
          <w:color w:val="000000"/>
          <w:sz w:val="24"/>
          <w:szCs w:val="24"/>
        </w:rPr>
        <w:t xml:space="preserve">, Bertioga, Barbados, </w:t>
      </w:r>
      <w:proofErr w:type="spellStart"/>
      <w:r>
        <w:rPr>
          <w:color w:val="000000"/>
          <w:sz w:val="24"/>
          <w:szCs w:val="24"/>
        </w:rPr>
        <w:t>Colonia</w:t>
      </w:r>
      <w:proofErr w:type="spellEnd"/>
      <w:r>
        <w:rPr>
          <w:color w:val="000000"/>
          <w:sz w:val="24"/>
          <w:szCs w:val="24"/>
        </w:rPr>
        <w:t xml:space="preserve"> Velha, Laranjeiras, </w:t>
      </w:r>
      <w:proofErr w:type="spellStart"/>
      <w:r>
        <w:rPr>
          <w:color w:val="000000"/>
          <w:sz w:val="24"/>
          <w:szCs w:val="24"/>
        </w:rPr>
        <w:t>Guapicum</w:t>
      </w:r>
      <w:proofErr w:type="spellEnd"/>
      <w:r>
        <w:rPr>
          <w:color w:val="000000"/>
          <w:sz w:val="24"/>
          <w:szCs w:val="24"/>
        </w:rPr>
        <w:t xml:space="preserve">, Ilha Rasa, Gamelas, </w:t>
      </w:r>
      <w:proofErr w:type="spellStart"/>
      <w:r>
        <w:rPr>
          <w:color w:val="000000"/>
          <w:sz w:val="24"/>
          <w:szCs w:val="24"/>
        </w:rPr>
        <w:t>Pocotuva</w:t>
      </w:r>
      <w:proofErr w:type="spellEnd"/>
      <w:r>
        <w:rPr>
          <w:color w:val="000000"/>
          <w:sz w:val="24"/>
          <w:szCs w:val="24"/>
        </w:rPr>
        <w:t xml:space="preserve">, </w:t>
      </w:r>
      <w:proofErr w:type="spellStart"/>
      <w:r>
        <w:rPr>
          <w:color w:val="000000"/>
          <w:sz w:val="24"/>
          <w:szCs w:val="24"/>
        </w:rPr>
        <w:t>Quaraquara</w:t>
      </w:r>
      <w:proofErr w:type="spellEnd"/>
      <w:r>
        <w:rPr>
          <w:color w:val="000000"/>
          <w:sz w:val="24"/>
          <w:szCs w:val="24"/>
        </w:rPr>
        <w:t xml:space="preserve"> e Portinho. </w:t>
      </w:r>
    </w:p>
    <w:p w:rsidR="009C776E" w:rsidRDefault="009C776E" w:rsidP="009C776E">
      <w:pPr>
        <w:ind w:firstLine="709"/>
        <w:jc w:val="both"/>
        <w:rPr>
          <w:color w:val="000000"/>
          <w:sz w:val="24"/>
          <w:szCs w:val="24"/>
        </w:rPr>
      </w:pPr>
      <w:r>
        <w:rPr>
          <w:color w:val="000000"/>
          <w:sz w:val="24"/>
          <w:szCs w:val="24"/>
        </w:rPr>
        <w:t xml:space="preserve">O extrativismo de manguezais é uma fonte de renda extremamente importante para as comunidades de Guaraqueçaba, Antonina e Paranaguá. As principais áreas afetadas por esta atividade estão relacionadas, principalmente, às </w:t>
      </w:r>
      <w:r>
        <w:rPr>
          <w:color w:val="000000"/>
          <w:sz w:val="24"/>
          <w:szCs w:val="24"/>
        </w:rPr>
        <w:lastRenderedPageBreak/>
        <w:t xml:space="preserve">comunidades de Almeida, </w:t>
      </w:r>
      <w:proofErr w:type="spellStart"/>
      <w:r>
        <w:rPr>
          <w:color w:val="000000"/>
          <w:sz w:val="24"/>
          <w:szCs w:val="24"/>
        </w:rPr>
        <w:t>Piaçaguera</w:t>
      </w:r>
      <w:proofErr w:type="spellEnd"/>
      <w:r>
        <w:rPr>
          <w:color w:val="000000"/>
          <w:sz w:val="24"/>
          <w:szCs w:val="24"/>
        </w:rPr>
        <w:t xml:space="preserve">, Amparo, Ponta do Lanço e na Ilha Rasa, Ilha das Peças e Ilha de </w:t>
      </w:r>
      <w:proofErr w:type="spellStart"/>
      <w:r>
        <w:rPr>
          <w:color w:val="000000"/>
          <w:sz w:val="24"/>
          <w:szCs w:val="24"/>
        </w:rPr>
        <w:t>Superagui</w:t>
      </w:r>
      <w:proofErr w:type="spellEnd"/>
      <w:r>
        <w:rPr>
          <w:color w:val="000000"/>
          <w:sz w:val="24"/>
          <w:szCs w:val="24"/>
        </w:rPr>
        <w:t xml:space="preserve">. E as atividades de aquicultura estão relacionadas principalmente com o cultivo de ostras do mangue, camarões (branco, cinza e sete-barbas), </w:t>
      </w:r>
      <w:proofErr w:type="spellStart"/>
      <w:r>
        <w:rPr>
          <w:color w:val="000000"/>
          <w:sz w:val="24"/>
          <w:szCs w:val="24"/>
        </w:rPr>
        <w:t>berbigões</w:t>
      </w:r>
      <w:proofErr w:type="spellEnd"/>
      <w:r>
        <w:rPr>
          <w:color w:val="000000"/>
          <w:sz w:val="24"/>
          <w:szCs w:val="24"/>
        </w:rPr>
        <w:t xml:space="preserve"> e mexilhões. As comunidades mais influentes são </w:t>
      </w:r>
      <w:proofErr w:type="spellStart"/>
      <w:r>
        <w:rPr>
          <w:sz w:val="24"/>
          <w:szCs w:val="24"/>
        </w:rPr>
        <w:t>Europinha</w:t>
      </w:r>
      <w:proofErr w:type="spellEnd"/>
      <w:r>
        <w:rPr>
          <w:sz w:val="24"/>
          <w:szCs w:val="24"/>
        </w:rPr>
        <w:t xml:space="preserve">, São Miguel, Medeiros de Baixo, </w:t>
      </w:r>
      <w:proofErr w:type="spellStart"/>
      <w:r>
        <w:rPr>
          <w:sz w:val="24"/>
          <w:szCs w:val="24"/>
        </w:rPr>
        <w:t>Massarapuã</w:t>
      </w:r>
      <w:proofErr w:type="spellEnd"/>
      <w:r>
        <w:rPr>
          <w:sz w:val="24"/>
          <w:szCs w:val="24"/>
        </w:rPr>
        <w:t xml:space="preserve">, Ponta do Lanço, Almeida, Ilha Rasa, </w:t>
      </w:r>
      <w:proofErr w:type="spellStart"/>
      <w:r>
        <w:rPr>
          <w:sz w:val="24"/>
          <w:szCs w:val="24"/>
        </w:rPr>
        <w:t>Tromomo</w:t>
      </w:r>
      <w:proofErr w:type="spellEnd"/>
      <w:r>
        <w:rPr>
          <w:sz w:val="24"/>
          <w:szCs w:val="24"/>
        </w:rPr>
        <w:t xml:space="preserve">, </w:t>
      </w:r>
      <w:proofErr w:type="spellStart"/>
      <w:r>
        <w:rPr>
          <w:sz w:val="24"/>
          <w:szCs w:val="24"/>
        </w:rPr>
        <w:t>Poruquara</w:t>
      </w:r>
      <w:proofErr w:type="spellEnd"/>
      <w:r>
        <w:rPr>
          <w:sz w:val="24"/>
          <w:szCs w:val="24"/>
        </w:rPr>
        <w:t xml:space="preserve">, </w:t>
      </w:r>
      <w:proofErr w:type="spellStart"/>
      <w:r>
        <w:rPr>
          <w:sz w:val="24"/>
          <w:szCs w:val="24"/>
        </w:rPr>
        <w:t>Tibicanga</w:t>
      </w:r>
      <w:proofErr w:type="spellEnd"/>
      <w:r>
        <w:rPr>
          <w:sz w:val="24"/>
          <w:szCs w:val="24"/>
        </w:rPr>
        <w:t xml:space="preserve">, </w:t>
      </w:r>
      <w:proofErr w:type="spellStart"/>
      <w:r>
        <w:rPr>
          <w:sz w:val="24"/>
          <w:szCs w:val="24"/>
        </w:rPr>
        <w:t>Guapicum</w:t>
      </w:r>
      <w:proofErr w:type="spellEnd"/>
      <w:r>
        <w:rPr>
          <w:sz w:val="24"/>
          <w:szCs w:val="24"/>
        </w:rPr>
        <w:t xml:space="preserve">, Vila das Peças, </w:t>
      </w:r>
      <w:proofErr w:type="spellStart"/>
      <w:r>
        <w:rPr>
          <w:sz w:val="24"/>
          <w:szCs w:val="24"/>
        </w:rPr>
        <w:t>Sebui</w:t>
      </w:r>
      <w:proofErr w:type="spellEnd"/>
      <w:r>
        <w:rPr>
          <w:sz w:val="24"/>
          <w:szCs w:val="24"/>
        </w:rPr>
        <w:t xml:space="preserve">, Vila Fátima, </w:t>
      </w:r>
      <w:proofErr w:type="spellStart"/>
      <w:r>
        <w:rPr>
          <w:sz w:val="24"/>
          <w:szCs w:val="24"/>
        </w:rPr>
        <w:t>Canudal</w:t>
      </w:r>
      <w:proofErr w:type="spellEnd"/>
      <w:r>
        <w:rPr>
          <w:sz w:val="24"/>
          <w:szCs w:val="24"/>
        </w:rPr>
        <w:t xml:space="preserve"> e Barbados.</w:t>
      </w:r>
    </w:p>
    <w:p w:rsidR="009C776E" w:rsidRDefault="009C776E" w:rsidP="009C776E">
      <w:pPr>
        <w:ind w:firstLine="709"/>
        <w:jc w:val="both"/>
        <w:rPr>
          <w:rFonts w:eastAsia="Calibri"/>
          <w:sz w:val="24"/>
          <w:szCs w:val="24"/>
        </w:rPr>
      </w:pPr>
      <w:r>
        <w:rPr>
          <w:sz w:val="24"/>
          <w:szCs w:val="24"/>
        </w:rPr>
        <w:t xml:space="preserve">A frota pesqueira é composta basicamente por canoas a remos, canoas a motor, bateiras, botes e canoas de fibra, sendo 60% motorizadas (MAFRA, 2012) (Quadro </w:t>
      </w:r>
      <w:proofErr w:type="gramStart"/>
      <w:r>
        <w:rPr>
          <w:sz w:val="24"/>
          <w:szCs w:val="24"/>
        </w:rPr>
        <w:t>1</w:t>
      </w:r>
      <w:proofErr w:type="gramEnd"/>
      <w:r>
        <w:rPr>
          <w:sz w:val="24"/>
          <w:szCs w:val="24"/>
        </w:rPr>
        <w:t xml:space="preserve">). </w:t>
      </w:r>
      <w:r>
        <w:rPr>
          <w:rFonts w:eastAsia="Calibri"/>
          <w:sz w:val="24"/>
          <w:szCs w:val="24"/>
        </w:rPr>
        <w:t xml:space="preserve">As comunidades de Barra do </w:t>
      </w:r>
      <w:proofErr w:type="spellStart"/>
      <w:r>
        <w:rPr>
          <w:rFonts w:eastAsia="Calibri"/>
          <w:sz w:val="24"/>
          <w:szCs w:val="24"/>
        </w:rPr>
        <w:t>Ararapira</w:t>
      </w:r>
      <w:proofErr w:type="spellEnd"/>
      <w:r>
        <w:rPr>
          <w:rFonts w:eastAsia="Calibri"/>
          <w:sz w:val="24"/>
          <w:szCs w:val="24"/>
        </w:rPr>
        <w:t xml:space="preserve">, Vila das Peças e Barra do </w:t>
      </w:r>
      <w:proofErr w:type="spellStart"/>
      <w:r>
        <w:rPr>
          <w:rFonts w:eastAsia="Calibri"/>
          <w:sz w:val="24"/>
          <w:szCs w:val="24"/>
        </w:rPr>
        <w:t>Superagui</w:t>
      </w:r>
      <w:proofErr w:type="spellEnd"/>
      <w:r>
        <w:rPr>
          <w:rFonts w:eastAsia="Calibri"/>
          <w:sz w:val="24"/>
          <w:szCs w:val="24"/>
        </w:rPr>
        <w:t xml:space="preserve"> têm maior parte das suas áreas de pesca na plataforma continental (MAFRA, 2012; MALHEIROS, 2008), com a utilização de embarcações maiores e mais adaptadas à pesca com redes de arrasto. A frota destas comunidades é composta por canoas de tábua, com motores de </w:t>
      </w:r>
      <w:proofErr w:type="gramStart"/>
      <w:r>
        <w:rPr>
          <w:rFonts w:eastAsia="Calibri"/>
          <w:sz w:val="24"/>
          <w:szCs w:val="24"/>
        </w:rPr>
        <w:t>18 HP</w:t>
      </w:r>
      <w:proofErr w:type="gramEnd"/>
      <w:r>
        <w:rPr>
          <w:rFonts w:eastAsia="Calibri"/>
          <w:sz w:val="24"/>
          <w:szCs w:val="24"/>
        </w:rPr>
        <w:t>, para até três tripulantes, e com capacidade de armazenamento de quase uma tonelada (MALHEIROS, 2008). As bateiras são mais apropriadas para navegação em baixios de manguezais, enquanto os botes e canoas são mais direcionados ao transporte de cargas e pessoas (MAFRA, 2012).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8"/>
        <w:gridCol w:w="4598"/>
      </w:tblGrid>
      <w:tr w:rsidR="009C776E" w:rsidTr="009C776E">
        <w:trPr>
          <w:trHeight w:val="3822"/>
        </w:trPr>
        <w:tc>
          <w:tcPr>
            <w:tcW w:w="4598" w:type="dxa"/>
            <w:tcBorders>
              <w:top w:val="single" w:sz="4" w:space="0" w:color="auto"/>
              <w:left w:val="single" w:sz="4" w:space="0" w:color="auto"/>
              <w:bottom w:val="single" w:sz="4" w:space="0" w:color="auto"/>
              <w:right w:val="single" w:sz="4" w:space="0" w:color="auto"/>
            </w:tcBorders>
          </w:tcPr>
          <w:p w:rsidR="009C776E" w:rsidRDefault="009C776E" w:rsidP="009C776E">
            <w:pPr>
              <w:spacing w:afterLines="40" w:after="96"/>
              <w:rPr>
                <w:noProof/>
              </w:rPr>
            </w:pPr>
          </w:p>
          <w:p w:rsidR="009C776E" w:rsidRDefault="009C776E" w:rsidP="009C776E">
            <w:pPr>
              <w:spacing w:afterLines="40" w:after="96"/>
              <w:rPr>
                <w:noProof/>
              </w:rPr>
            </w:pPr>
            <w:r>
              <w:rPr>
                <w:noProof/>
              </w:rPr>
              <w:drawing>
                <wp:inline distT="0" distB="0" distL="0" distR="0" wp14:anchorId="1C0FE589" wp14:editId="28E58114">
                  <wp:extent cx="2724150" cy="2076450"/>
                  <wp:effectExtent l="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24150" cy="2076450"/>
                          </a:xfrm>
                          <a:prstGeom prst="rect">
                            <a:avLst/>
                          </a:prstGeom>
                          <a:noFill/>
                          <a:ln>
                            <a:noFill/>
                          </a:ln>
                        </pic:spPr>
                      </pic:pic>
                    </a:graphicData>
                  </a:graphic>
                </wp:inline>
              </w:drawing>
            </w:r>
          </w:p>
          <w:p w:rsidR="009C776E" w:rsidRDefault="009C776E" w:rsidP="009C776E">
            <w:pPr>
              <w:spacing w:afterLines="40" w:after="96"/>
              <w:rPr>
                <w:noProof/>
                <w:lang w:eastAsia="en-US"/>
              </w:rPr>
            </w:pPr>
            <w:r>
              <w:rPr>
                <w:noProof/>
              </w:rPr>
              <w:t>a) Canoas a remo</w:t>
            </w:r>
          </w:p>
        </w:tc>
        <w:tc>
          <w:tcPr>
            <w:tcW w:w="4598" w:type="dxa"/>
            <w:tcBorders>
              <w:top w:val="single" w:sz="4" w:space="0" w:color="auto"/>
              <w:left w:val="single" w:sz="4" w:space="0" w:color="auto"/>
              <w:bottom w:val="single" w:sz="4" w:space="0" w:color="auto"/>
              <w:right w:val="single" w:sz="4" w:space="0" w:color="auto"/>
            </w:tcBorders>
          </w:tcPr>
          <w:p w:rsidR="009C776E" w:rsidRDefault="009C776E" w:rsidP="009C776E">
            <w:pPr>
              <w:spacing w:afterLines="40" w:after="96"/>
              <w:jc w:val="both"/>
              <w:rPr>
                <w:noProof/>
              </w:rPr>
            </w:pPr>
          </w:p>
          <w:p w:rsidR="009C776E" w:rsidRDefault="009C776E" w:rsidP="009C776E">
            <w:pPr>
              <w:spacing w:afterLines="40" w:after="96"/>
              <w:jc w:val="both"/>
              <w:rPr>
                <w:noProof/>
              </w:rPr>
            </w:pPr>
            <w:r>
              <w:rPr>
                <w:noProof/>
              </w:rPr>
              <w:drawing>
                <wp:inline distT="0" distB="0" distL="0" distR="0" wp14:anchorId="07959A9C" wp14:editId="11590AF2">
                  <wp:extent cx="2724150" cy="2076450"/>
                  <wp:effectExtent l="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24150" cy="2076450"/>
                          </a:xfrm>
                          <a:prstGeom prst="rect">
                            <a:avLst/>
                          </a:prstGeom>
                          <a:noFill/>
                          <a:ln>
                            <a:noFill/>
                          </a:ln>
                        </pic:spPr>
                      </pic:pic>
                    </a:graphicData>
                  </a:graphic>
                </wp:inline>
              </w:drawing>
            </w:r>
          </w:p>
          <w:p w:rsidR="009C776E" w:rsidRDefault="009C776E" w:rsidP="009C776E">
            <w:pPr>
              <w:spacing w:afterLines="40" w:after="96"/>
              <w:jc w:val="both"/>
              <w:rPr>
                <w:noProof/>
                <w:lang w:eastAsia="en-US"/>
              </w:rPr>
            </w:pPr>
            <w:r>
              <w:rPr>
                <w:noProof/>
              </w:rPr>
              <w:t>b) Canoa a motor</w:t>
            </w:r>
          </w:p>
        </w:tc>
      </w:tr>
      <w:tr w:rsidR="009C776E" w:rsidTr="009C776E">
        <w:trPr>
          <w:trHeight w:val="3964"/>
        </w:trPr>
        <w:tc>
          <w:tcPr>
            <w:tcW w:w="4598" w:type="dxa"/>
            <w:tcBorders>
              <w:top w:val="single" w:sz="4" w:space="0" w:color="auto"/>
              <w:left w:val="single" w:sz="4" w:space="0" w:color="auto"/>
              <w:bottom w:val="single" w:sz="4" w:space="0" w:color="auto"/>
              <w:right w:val="single" w:sz="4" w:space="0" w:color="auto"/>
            </w:tcBorders>
          </w:tcPr>
          <w:p w:rsidR="009C776E" w:rsidRDefault="009C776E" w:rsidP="009C776E">
            <w:pPr>
              <w:spacing w:afterLines="40" w:after="96"/>
              <w:rPr>
                <w:noProof/>
              </w:rPr>
            </w:pPr>
          </w:p>
          <w:p w:rsidR="009C776E" w:rsidRDefault="009C776E" w:rsidP="009C776E">
            <w:pPr>
              <w:spacing w:afterLines="40" w:after="96"/>
              <w:rPr>
                <w:noProof/>
              </w:rPr>
            </w:pPr>
            <w:r>
              <w:rPr>
                <w:noProof/>
              </w:rPr>
              <w:drawing>
                <wp:inline distT="0" distB="0" distL="0" distR="0" wp14:anchorId="2005A934" wp14:editId="1438E7B7">
                  <wp:extent cx="2762250" cy="2076450"/>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62250" cy="2076450"/>
                          </a:xfrm>
                          <a:prstGeom prst="rect">
                            <a:avLst/>
                          </a:prstGeom>
                          <a:noFill/>
                          <a:ln>
                            <a:noFill/>
                          </a:ln>
                        </pic:spPr>
                      </pic:pic>
                    </a:graphicData>
                  </a:graphic>
                </wp:inline>
              </w:drawing>
            </w:r>
          </w:p>
          <w:p w:rsidR="009C776E" w:rsidRDefault="009C776E" w:rsidP="009C776E">
            <w:pPr>
              <w:spacing w:afterLines="40" w:after="96"/>
              <w:rPr>
                <w:noProof/>
                <w:lang w:eastAsia="en-US"/>
              </w:rPr>
            </w:pPr>
            <w:r>
              <w:rPr>
                <w:noProof/>
              </w:rPr>
              <w:t>c) Bateira</w:t>
            </w:r>
          </w:p>
        </w:tc>
        <w:tc>
          <w:tcPr>
            <w:tcW w:w="4598" w:type="dxa"/>
            <w:tcBorders>
              <w:top w:val="single" w:sz="4" w:space="0" w:color="auto"/>
              <w:left w:val="single" w:sz="4" w:space="0" w:color="auto"/>
              <w:bottom w:val="single" w:sz="4" w:space="0" w:color="auto"/>
              <w:right w:val="single" w:sz="4" w:space="0" w:color="auto"/>
            </w:tcBorders>
          </w:tcPr>
          <w:p w:rsidR="009C776E" w:rsidRDefault="009C776E" w:rsidP="009C776E">
            <w:pPr>
              <w:spacing w:afterLines="40" w:after="96"/>
              <w:jc w:val="both"/>
              <w:rPr>
                <w:noProof/>
              </w:rPr>
            </w:pPr>
          </w:p>
          <w:p w:rsidR="009C776E" w:rsidRDefault="009C776E" w:rsidP="009C776E">
            <w:pPr>
              <w:spacing w:afterLines="40" w:after="96"/>
              <w:jc w:val="both"/>
              <w:rPr>
                <w:noProof/>
              </w:rPr>
            </w:pPr>
            <w:r>
              <w:rPr>
                <w:noProof/>
              </w:rPr>
              <w:drawing>
                <wp:inline distT="0" distB="0" distL="0" distR="0" wp14:anchorId="661E1751" wp14:editId="2B717557">
                  <wp:extent cx="2724150" cy="2076450"/>
                  <wp:effectExtent l="0" t="0" r="0"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a:blip r:embed="rId44">
                            <a:extLst>
                              <a:ext uri="{28A0092B-C50C-407E-A947-70E740481C1C}">
                                <a14:useLocalDpi xmlns:a14="http://schemas.microsoft.com/office/drawing/2010/main" val="0"/>
                              </a:ext>
                            </a:extLst>
                          </a:blip>
                          <a:srcRect r="1392"/>
                          <a:stretch>
                            <a:fillRect/>
                          </a:stretch>
                        </pic:blipFill>
                        <pic:spPr bwMode="auto">
                          <a:xfrm>
                            <a:off x="0" y="0"/>
                            <a:ext cx="2724150" cy="2076450"/>
                          </a:xfrm>
                          <a:prstGeom prst="rect">
                            <a:avLst/>
                          </a:prstGeom>
                          <a:noFill/>
                          <a:ln>
                            <a:noFill/>
                          </a:ln>
                        </pic:spPr>
                      </pic:pic>
                    </a:graphicData>
                  </a:graphic>
                </wp:inline>
              </w:drawing>
            </w:r>
          </w:p>
          <w:p w:rsidR="009C776E" w:rsidRDefault="009C776E" w:rsidP="009C776E">
            <w:pPr>
              <w:spacing w:afterLines="40" w:after="96"/>
              <w:jc w:val="both"/>
              <w:rPr>
                <w:noProof/>
                <w:lang w:eastAsia="en-US"/>
              </w:rPr>
            </w:pPr>
            <w:r>
              <w:rPr>
                <w:noProof/>
              </w:rPr>
              <w:t>d) Bote</w:t>
            </w:r>
          </w:p>
        </w:tc>
      </w:tr>
      <w:tr w:rsidR="009C776E" w:rsidTr="009C776E">
        <w:trPr>
          <w:trHeight w:val="3964"/>
        </w:trPr>
        <w:tc>
          <w:tcPr>
            <w:tcW w:w="4598" w:type="dxa"/>
            <w:tcBorders>
              <w:top w:val="single" w:sz="4" w:space="0" w:color="auto"/>
              <w:left w:val="single" w:sz="4" w:space="0" w:color="auto"/>
              <w:bottom w:val="single" w:sz="4" w:space="0" w:color="auto"/>
              <w:right w:val="single" w:sz="4" w:space="0" w:color="auto"/>
            </w:tcBorders>
          </w:tcPr>
          <w:p w:rsidR="009C776E" w:rsidRDefault="009C776E" w:rsidP="009C776E">
            <w:pPr>
              <w:spacing w:afterLines="40" w:after="96"/>
              <w:rPr>
                <w:noProof/>
              </w:rPr>
            </w:pPr>
          </w:p>
          <w:p w:rsidR="009C776E" w:rsidRDefault="009C776E" w:rsidP="009C776E">
            <w:pPr>
              <w:spacing w:afterLines="40" w:after="96"/>
              <w:rPr>
                <w:noProof/>
              </w:rPr>
            </w:pPr>
            <w:r>
              <w:rPr>
                <w:noProof/>
              </w:rPr>
              <w:drawing>
                <wp:inline distT="0" distB="0" distL="0" distR="0" wp14:anchorId="3AAF4832" wp14:editId="71718BD7">
                  <wp:extent cx="2733675" cy="2076450"/>
                  <wp:effectExtent l="0" t="0" r="9525"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33675" cy="2076450"/>
                          </a:xfrm>
                          <a:prstGeom prst="rect">
                            <a:avLst/>
                          </a:prstGeom>
                          <a:noFill/>
                          <a:ln>
                            <a:noFill/>
                          </a:ln>
                        </pic:spPr>
                      </pic:pic>
                    </a:graphicData>
                  </a:graphic>
                </wp:inline>
              </w:drawing>
            </w:r>
          </w:p>
          <w:p w:rsidR="009C776E" w:rsidRDefault="009C776E" w:rsidP="009C776E">
            <w:pPr>
              <w:spacing w:afterLines="40" w:after="96"/>
              <w:rPr>
                <w:noProof/>
                <w:lang w:eastAsia="en-US"/>
              </w:rPr>
            </w:pPr>
            <w:r>
              <w:rPr>
                <w:noProof/>
              </w:rPr>
              <w:t>e) Canoa de fibra</w:t>
            </w:r>
          </w:p>
        </w:tc>
        <w:tc>
          <w:tcPr>
            <w:tcW w:w="4598" w:type="dxa"/>
            <w:tcBorders>
              <w:top w:val="single" w:sz="4" w:space="0" w:color="auto"/>
              <w:left w:val="single" w:sz="4" w:space="0" w:color="auto"/>
              <w:bottom w:val="single" w:sz="4" w:space="0" w:color="auto"/>
              <w:right w:val="single" w:sz="4" w:space="0" w:color="auto"/>
            </w:tcBorders>
          </w:tcPr>
          <w:p w:rsidR="009C776E" w:rsidRDefault="009C776E" w:rsidP="009C776E">
            <w:pPr>
              <w:spacing w:afterLines="40" w:after="96"/>
              <w:jc w:val="both"/>
              <w:rPr>
                <w:noProof/>
                <w:lang w:eastAsia="en-US"/>
              </w:rPr>
            </w:pPr>
          </w:p>
        </w:tc>
      </w:tr>
    </w:tbl>
    <w:p w:rsidR="009C776E" w:rsidRDefault="009C776E" w:rsidP="009C776E">
      <w:pPr>
        <w:spacing w:line="240" w:lineRule="auto"/>
        <w:rPr>
          <w:rFonts w:eastAsiaTheme="minorHAnsi"/>
          <w:szCs w:val="24"/>
          <w:lang w:eastAsia="en-US"/>
        </w:rPr>
      </w:pPr>
      <w:r>
        <w:rPr>
          <w:szCs w:val="24"/>
        </w:rPr>
        <w:t>Quadro 1 – Exemplos de frotas pesqueiras.</w:t>
      </w:r>
      <w:r>
        <w:rPr>
          <w:szCs w:val="24"/>
        </w:rPr>
        <w:br/>
        <w:t>Fonte: Mafra (2012).</w:t>
      </w:r>
    </w:p>
    <w:p w:rsidR="009C776E" w:rsidRDefault="009C776E" w:rsidP="009C776E">
      <w:pPr>
        <w:ind w:firstLine="708"/>
        <w:jc w:val="both"/>
        <w:rPr>
          <w:szCs w:val="24"/>
        </w:rPr>
      </w:pPr>
      <w:r>
        <w:rPr>
          <w:sz w:val="24"/>
          <w:szCs w:val="24"/>
        </w:rPr>
        <w:t xml:space="preserve">As colônias de pesca ativas possuem autonomia de organização e administração, representam perante os órgãos públicos as ações conjuntas dos pescadores e direcionam informações a respeito do desenvolvimento profissional, econômico e social das comunidades pesqueiras, conforme a Lei Nº 11.699, de 13 de junho de 2008, da Constituição Federal, e são únicas e pertencentes de cada munícipio, portanto condicionadas junto a Antonina, Guaraqueçaba e Paranaguá. A regulamentação disposta na Lei Nº 11.959, de 29 de junho de 2009, implica no ordenamento, fomento e fiscalização da atividade pesqueira, e </w:t>
      </w:r>
      <w:r>
        <w:rPr>
          <w:color w:val="000000"/>
          <w:sz w:val="24"/>
          <w:szCs w:val="24"/>
        </w:rPr>
        <w:t>a preservação, conservação e recuperação dos recursos pesqueiros e dos ecossistemas aquáticos.</w:t>
      </w:r>
    </w:p>
    <w:p w:rsidR="009C776E" w:rsidRDefault="009C776E" w:rsidP="009C776E">
      <w:pPr>
        <w:ind w:firstLine="709"/>
        <w:jc w:val="both"/>
        <w:rPr>
          <w:rFonts w:eastAsia="Calibri"/>
          <w:sz w:val="24"/>
          <w:szCs w:val="24"/>
        </w:rPr>
      </w:pPr>
      <w:r>
        <w:rPr>
          <w:rFonts w:eastAsia="Calibri"/>
          <w:sz w:val="24"/>
          <w:szCs w:val="24"/>
        </w:rPr>
        <w:t xml:space="preserve">Atualmente, os conflitos associados à pesca dentro da Baía de Paranaguá são debatidos em grande maioria na Câmara Técnica de Pesca da APA de </w:t>
      </w:r>
      <w:r>
        <w:rPr>
          <w:rFonts w:eastAsia="Calibri"/>
          <w:sz w:val="24"/>
          <w:szCs w:val="24"/>
        </w:rPr>
        <w:lastRenderedPageBreak/>
        <w:t xml:space="preserve">Guaraqueçaba, ESEC de Guaraqueçaba e Parque Nacional do </w:t>
      </w:r>
      <w:proofErr w:type="spellStart"/>
      <w:r>
        <w:rPr>
          <w:rFonts w:eastAsia="Calibri"/>
          <w:sz w:val="24"/>
          <w:szCs w:val="24"/>
        </w:rPr>
        <w:t>Superagui</w:t>
      </w:r>
      <w:proofErr w:type="spellEnd"/>
      <w:r>
        <w:rPr>
          <w:rFonts w:eastAsia="Calibri"/>
          <w:sz w:val="24"/>
          <w:szCs w:val="24"/>
        </w:rPr>
        <w:t xml:space="preserve">, em conjunto com o Movimento dos Pescadores Artesanais – MOPEAR (AZEVEDO, 2013). Desde 2013 vem se discutindo o ordenamento da pesca do caranguejo </w:t>
      </w:r>
      <w:proofErr w:type="spellStart"/>
      <w:r>
        <w:rPr>
          <w:rFonts w:eastAsia="Calibri"/>
          <w:sz w:val="24"/>
          <w:szCs w:val="24"/>
        </w:rPr>
        <w:t>ucá</w:t>
      </w:r>
      <w:proofErr w:type="spellEnd"/>
      <w:r>
        <w:rPr>
          <w:rFonts w:eastAsia="Calibri"/>
          <w:sz w:val="24"/>
          <w:szCs w:val="24"/>
        </w:rPr>
        <w:t>, buscando entender a pesca em um contexto geral e a sua importância socioeconômica para as comunidades envolvidas. Outra reivindicação, a pedido de Colônias de Pescadores, é a revisão do período de defeso do camarão branco (</w:t>
      </w:r>
      <w:proofErr w:type="spellStart"/>
      <w:r>
        <w:rPr>
          <w:rFonts w:eastAsia="Calibri"/>
          <w:i/>
          <w:sz w:val="24"/>
          <w:szCs w:val="24"/>
        </w:rPr>
        <w:t>Litopenaeus</w:t>
      </w:r>
      <w:proofErr w:type="spellEnd"/>
      <w:r>
        <w:rPr>
          <w:rFonts w:eastAsia="Calibri"/>
          <w:i/>
          <w:sz w:val="24"/>
          <w:szCs w:val="24"/>
        </w:rPr>
        <w:t xml:space="preserve"> </w:t>
      </w:r>
      <w:proofErr w:type="spellStart"/>
      <w:r>
        <w:rPr>
          <w:rFonts w:eastAsia="Calibri"/>
          <w:i/>
          <w:sz w:val="24"/>
          <w:szCs w:val="24"/>
        </w:rPr>
        <w:t>schmitti</w:t>
      </w:r>
      <w:proofErr w:type="spellEnd"/>
      <w:r>
        <w:rPr>
          <w:rFonts w:eastAsia="Calibri"/>
          <w:sz w:val="24"/>
          <w:szCs w:val="24"/>
        </w:rPr>
        <w:t>). Em paralelo, o MOPEAR negocia a liberação do cerco do fixo, via ministério público. O pedido pede a revisão da lei 12/2003 do IBAMA.</w:t>
      </w:r>
    </w:p>
    <w:p w:rsidR="009C776E" w:rsidRDefault="009C776E" w:rsidP="009C776E">
      <w:pPr>
        <w:ind w:firstLine="709"/>
        <w:jc w:val="both"/>
        <w:rPr>
          <w:rFonts w:eastAsia="Calibri"/>
          <w:sz w:val="24"/>
          <w:szCs w:val="24"/>
        </w:rPr>
      </w:pPr>
      <w:r>
        <w:rPr>
          <w:rFonts w:eastAsia="Calibri"/>
          <w:sz w:val="24"/>
          <w:szCs w:val="24"/>
        </w:rPr>
        <w:t>As dinâmicas pesqueiras em todas as comunidades se diferem entre si e em relação a outras caracterizações da pesca, extrativismo e atividades aquícolas. As alterações são frequentes e os processos acontecem repentinamente, principalmente na busca das formas de pesca e captura das espécies, do número de pescadores artesanais, dos estoques pesqueiros e dos conflitos que existem na região. A relação da população com agentes externos é extremamente importante para a gestão do litoral paranaense de forma eficaz. Além dos gestores ambientais, a comunidade científica e universitária também mantém contato e realizam monitoramentos, trabalhos e acompanhamentos para ajudar na gestão participativa no litoral paranaense.</w:t>
      </w:r>
    </w:p>
    <w:p w:rsidR="00B94AD9" w:rsidRDefault="00B94AD9" w:rsidP="00B94AD9">
      <w:pPr>
        <w:jc w:val="both"/>
        <w:rPr>
          <w:sz w:val="24"/>
        </w:rPr>
      </w:pPr>
    </w:p>
    <w:p w:rsidR="00B94AD9" w:rsidRPr="00E47A53" w:rsidRDefault="00B94AD9" w:rsidP="00E47A53">
      <w:pPr>
        <w:pStyle w:val="Ttulo1CerroAzul"/>
        <w:tabs>
          <w:tab w:val="clear" w:pos="6528"/>
        </w:tabs>
        <w:ind w:left="0" w:firstLine="0"/>
        <w:jc w:val="left"/>
        <w:rPr>
          <w:caps w:val="0"/>
        </w:rPr>
      </w:pPr>
      <w:r w:rsidRPr="00E47A53">
        <w:rPr>
          <w:caps w:val="0"/>
        </w:rPr>
        <w:t>REFERÊNCIAS</w:t>
      </w:r>
    </w:p>
    <w:p w:rsidR="00E47A53" w:rsidRPr="003D14FC" w:rsidRDefault="00E47A53" w:rsidP="003D14FC">
      <w:pPr>
        <w:spacing w:before="120" w:after="240" w:line="240" w:lineRule="auto"/>
        <w:jc w:val="both"/>
        <w:rPr>
          <w:sz w:val="24"/>
          <w:szCs w:val="24"/>
        </w:rPr>
      </w:pPr>
      <w:r w:rsidRPr="003D14FC">
        <w:rPr>
          <w:sz w:val="24"/>
          <w:szCs w:val="24"/>
          <w:highlight w:val="white"/>
        </w:rPr>
        <w:t xml:space="preserve">ACE – Auditoria, Consultoria e Educação Ambiental Ltda. </w:t>
      </w:r>
      <w:r w:rsidRPr="003D14FC">
        <w:rPr>
          <w:b/>
          <w:sz w:val="24"/>
          <w:szCs w:val="24"/>
          <w:highlight w:val="white"/>
        </w:rPr>
        <w:t xml:space="preserve">MELPORT Terminais Marítimos LTDA. </w:t>
      </w:r>
      <w:r w:rsidRPr="003D14FC">
        <w:rPr>
          <w:sz w:val="24"/>
          <w:szCs w:val="24"/>
          <w:highlight w:val="white"/>
        </w:rPr>
        <w:t>Curitiba, 2011. Estudo de Impacto Ambiental e Relatório de Impacto Ambiental – EIA/RIMA.</w:t>
      </w:r>
    </w:p>
    <w:p w:rsidR="00E47A53" w:rsidRPr="003D14FC" w:rsidRDefault="00E47A53" w:rsidP="003D14FC">
      <w:pPr>
        <w:spacing w:before="120" w:after="240" w:line="240" w:lineRule="auto"/>
        <w:jc w:val="both"/>
        <w:rPr>
          <w:sz w:val="24"/>
          <w:szCs w:val="24"/>
        </w:rPr>
      </w:pPr>
      <w:r w:rsidRPr="003D14FC">
        <w:rPr>
          <w:sz w:val="24"/>
          <w:szCs w:val="24"/>
          <w:highlight w:val="white"/>
        </w:rPr>
        <w:t xml:space="preserve">ACQUAPLAN. </w:t>
      </w:r>
      <w:r w:rsidRPr="003D14FC">
        <w:rPr>
          <w:b/>
          <w:sz w:val="24"/>
          <w:szCs w:val="24"/>
          <w:highlight w:val="white"/>
        </w:rPr>
        <w:t xml:space="preserve">Dragagem de aprofundamento dos canais de navegação, berços de atracação e bacias de evolução do sistema </w:t>
      </w:r>
      <w:proofErr w:type="spellStart"/>
      <w:r w:rsidRPr="003D14FC">
        <w:rPr>
          <w:b/>
          <w:sz w:val="24"/>
          <w:szCs w:val="24"/>
          <w:highlight w:val="white"/>
        </w:rPr>
        <w:t>aquaviário</w:t>
      </w:r>
      <w:proofErr w:type="spellEnd"/>
      <w:r w:rsidRPr="003D14FC">
        <w:rPr>
          <w:b/>
          <w:sz w:val="24"/>
          <w:szCs w:val="24"/>
          <w:highlight w:val="white"/>
        </w:rPr>
        <w:t xml:space="preserve"> dos portos de Paranaguá e Antonina. </w:t>
      </w:r>
      <w:proofErr w:type="spellStart"/>
      <w:proofErr w:type="gramStart"/>
      <w:r w:rsidRPr="003D14FC">
        <w:rPr>
          <w:sz w:val="24"/>
          <w:szCs w:val="24"/>
          <w:highlight w:val="white"/>
        </w:rPr>
        <w:t>Curitiba:</w:t>
      </w:r>
      <w:proofErr w:type="gramEnd"/>
      <w:r w:rsidRPr="003D14FC">
        <w:rPr>
          <w:sz w:val="24"/>
          <w:szCs w:val="24"/>
          <w:highlight w:val="white"/>
        </w:rPr>
        <w:t>ACQUAPLAN</w:t>
      </w:r>
      <w:proofErr w:type="spellEnd"/>
      <w:r w:rsidRPr="003D14FC">
        <w:rPr>
          <w:sz w:val="24"/>
          <w:szCs w:val="24"/>
          <w:highlight w:val="white"/>
        </w:rPr>
        <w:t xml:space="preserve"> Tecnologia e Consultoria Ambiental, 2011. Estudo de Impacto Ambiental e Relatório de Impacto Ambiental – EIA/RIMA.</w:t>
      </w:r>
    </w:p>
    <w:p w:rsidR="00E47A53" w:rsidRPr="003D14FC" w:rsidRDefault="00E47A53" w:rsidP="003D14FC">
      <w:pPr>
        <w:spacing w:before="120" w:after="240" w:line="240" w:lineRule="auto"/>
        <w:jc w:val="both"/>
        <w:rPr>
          <w:sz w:val="24"/>
          <w:szCs w:val="24"/>
        </w:rPr>
      </w:pPr>
      <w:r w:rsidRPr="003D14FC">
        <w:rPr>
          <w:sz w:val="24"/>
          <w:szCs w:val="24"/>
          <w:highlight w:val="white"/>
        </w:rPr>
        <w:t xml:space="preserve">ACQUAPLAN. </w:t>
      </w:r>
      <w:r w:rsidRPr="003D14FC">
        <w:rPr>
          <w:b/>
          <w:sz w:val="24"/>
          <w:szCs w:val="24"/>
          <w:highlight w:val="white"/>
        </w:rPr>
        <w:t xml:space="preserve">Plano de Controle Ambiental – PCA do porto de Paranaguá. </w:t>
      </w:r>
      <w:r w:rsidRPr="003D14FC">
        <w:rPr>
          <w:sz w:val="24"/>
          <w:szCs w:val="24"/>
          <w:highlight w:val="white"/>
        </w:rPr>
        <w:t>Curitiba: ACQUAPLAN Tecnologia e Consultoria Ambiental, 2011. Plano de Controle Ambiental – PCA.</w:t>
      </w:r>
    </w:p>
    <w:p w:rsidR="00F456A5" w:rsidRPr="003D14FC" w:rsidRDefault="00F456A5" w:rsidP="003D14FC">
      <w:pPr>
        <w:pStyle w:val="Default"/>
        <w:spacing w:before="120" w:after="240"/>
        <w:jc w:val="both"/>
      </w:pPr>
      <w:r w:rsidRPr="003D14FC">
        <w:t xml:space="preserve">ACSELRAD, H. As práticas espaciais e o campo dos conflitos ambientais. In ACSELRAD, H. (Org.). </w:t>
      </w:r>
      <w:r w:rsidRPr="003D14FC">
        <w:rPr>
          <w:b/>
        </w:rPr>
        <w:t>Conflitos ambientais no Brasil</w:t>
      </w:r>
      <w:r w:rsidRPr="003D14FC">
        <w:t xml:space="preserve">. Rio de Janeiro: </w:t>
      </w:r>
      <w:proofErr w:type="spellStart"/>
      <w:r w:rsidRPr="003D14FC">
        <w:t>Relume</w:t>
      </w:r>
      <w:proofErr w:type="spellEnd"/>
      <w:r w:rsidRPr="003D14FC">
        <w:t xml:space="preserve"> </w:t>
      </w:r>
      <w:proofErr w:type="spellStart"/>
      <w:r w:rsidRPr="003D14FC">
        <w:t>Dumará</w:t>
      </w:r>
      <w:proofErr w:type="spellEnd"/>
      <w:r w:rsidRPr="003D14FC">
        <w:t>, 2004. 294 p.</w:t>
      </w:r>
    </w:p>
    <w:p w:rsidR="00E47A53" w:rsidRPr="003D14FC" w:rsidRDefault="00E47A53" w:rsidP="003D14FC">
      <w:pPr>
        <w:spacing w:before="120" w:after="240" w:line="240" w:lineRule="auto"/>
        <w:jc w:val="both"/>
        <w:rPr>
          <w:sz w:val="24"/>
          <w:szCs w:val="24"/>
        </w:rPr>
      </w:pPr>
      <w:r w:rsidRPr="003D14FC">
        <w:rPr>
          <w:sz w:val="24"/>
          <w:szCs w:val="24"/>
          <w:highlight w:val="white"/>
        </w:rPr>
        <w:lastRenderedPageBreak/>
        <w:t xml:space="preserve">ADMINISTRAÇÃO DOS PORTOS DE PARANAGUÁ E ANOTNINA. Disponível </w:t>
      </w:r>
      <w:proofErr w:type="gramStart"/>
      <w:r w:rsidRPr="003D14FC">
        <w:rPr>
          <w:sz w:val="24"/>
          <w:szCs w:val="24"/>
          <w:highlight w:val="white"/>
        </w:rPr>
        <w:t>em:</w:t>
      </w:r>
      <w:proofErr w:type="gramEnd"/>
      <w:r w:rsidRPr="003D14FC">
        <w:rPr>
          <w:sz w:val="24"/>
          <w:szCs w:val="24"/>
        </w:rPr>
        <w:fldChar w:fldCharType="begin"/>
      </w:r>
      <w:r w:rsidRPr="003D14FC">
        <w:rPr>
          <w:sz w:val="24"/>
          <w:szCs w:val="24"/>
        </w:rPr>
        <w:instrText xml:space="preserve"> HYPERLINK "http://www.portosdoparana.pr.gov.br/" \h </w:instrText>
      </w:r>
      <w:r w:rsidRPr="003D14FC">
        <w:rPr>
          <w:sz w:val="24"/>
          <w:szCs w:val="24"/>
        </w:rPr>
        <w:fldChar w:fldCharType="separate"/>
      </w:r>
      <w:r w:rsidRPr="003D14FC">
        <w:rPr>
          <w:sz w:val="24"/>
          <w:szCs w:val="24"/>
          <w:highlight w:val="white"/>
        </w:rPr>
        <w:t xml:space="preserve"> </w:t>
      </w:r>
      <w:r w:rsidRPr="003D14FC">
        <w:rPr>
          <w:sz w:val="24"/>
          <w:szCs w:val="24"/>
          <w:highlight w:val="white"/>
        </w:rPr>
        <w:fldChar w:fldCharType="end"/>
      </w:r>
      <w:r w:rsidRPr="003D14FC">
        <w:rPr>
          <w:sz w:val="24"/>
          <w:szCs w:val="24"/>
          <w:highlight w:val="white"/>
        </w:rPr>
        <w:t>http://www.portosdoparana.pr.gov.br. Acesso em: 11/09/2016.</w:t>
      </w:r>
    </w:p>
    <w:p w:rsidR="00F456A5" w:rsidRPr="003D14FC" w:rsidRDefault="00F456A5" w:rsidP="003D14FC">
      <w:pPr>
        <w:pStyle w:val="Default"/>
        <w:spacing w:before="120" w:after="240"/>
        <w:jc w:val="both"/>
      </w:pPr>
      <w:r w:rsidRPr="003D14FC">
        <w:t xml:space="preserve">AEN. </w:t>
      </w:r>
      <w:r w:rsidRPr="003D14FC">
        <w:rPr>
          <w:b/>
        </w:rPr>
        <w:t>Agência de Notícias do Paraná.</w:t>
      </w:r>
      <w:r w:rsidRPr="003D14FC">
        <w:t xml:space="preserve"> </w:t>
      </w:r>
      <w:proofErr w:type="spellStart"/>
      <w:r w:rsidRPr="003D14FC">
        <w:t>Richa</w:t>
      </w:r>
      <w:proofErr w:type="spellEnd"/>
      <w:r w:rsidRPr="003D14FC">
        <w:t xml:space="preserve"> autoriza estudo para pavimentação da estrada de acesso a Guaraqueçaba.  Curitiba, jan. /2013. </w:t>
      </w:r>
      <w:proofErr w:type="gramStart"/>
      <w:r w:rsidRPr="003D14FC">
        <w:t>Disponível:</w:t>
      </w:r>
      <w:proofErr w:type="gramEnd"/>
      <w:r w:rsidRPr="003D14FC">
        <w:t>http://www.aen.pr.gov.br/modules/noticias/article.php?</w:t>
      </w:r>
      <w:proofErr w:type="gramStart"/>
      <w:r w:rsidRPr="003D14FC">
        <w:t>storyid</w:t>
      </w:r>
      <w:proofErr w:type="gramEnd"/>
      <w:r w:rsidRPr="003D14FC">
        <w:t xml:space="preserve">=72705. Acesso em: 30 out. 2016. </w:t>
      </w:r>
    </w:p>
    <w:p w:rsidR="00E47A53" w:rsidRPr="003D14FC" w:rsidRDefault="00E47A53" w:rsidP="003D14FC">
      <w:pPr>
        <w:spacing w:before="120" w:after="240" w:line="240" w:lineRule="auto"/>
        <w:jc w:val="both"/>
        <w:rPr>
          <w:sz w:val="24"/>
          <w:szCs w:val="24"/>
        </w:rPr>
      </w:pPr>
      <w:r w:rsidRPr="003D14FC">
        <w:rPr>
          <w:iCs/>
          <w:color w:val="000000"/>
          <w:sz w:val="24"/>
          <w:szCs w:val="24"/>
        </w:rPr>
        <w:t xml:space="preserve">ANDRADE, M. M.; MEDEIROS R. P. </w:t>
      </w:r>
      <w:r w:rsidRPr="003D14FC">
        <w:rPr>
          <w:sz w:val="24"/>
          <w:szCs w:val="24"/>
        </w:rPr>
        <w:t xml:space="preserve">Estratégias </w:t>
      </w:r>
      <w:r w:rsidRPr="003D14FC">
        <w:rPr>
          <w:b/>
          <w:sz w:val="24"/>
          <w:szCs w:val="24"/>
        </w:rPr>
        <w:t>adaptativas em um contexto de transformações no espaço e no tempo</w:t>
      </w:r>
      <w:r w:rsidRPr="003D14FC">
        <w:rPr>
          <w:sz w:val="24"/>
          <w:szCs w:val="24"/>
        </w:rPr>
        <w:t>: o caso da comunidade do Almeida no Complexo Estuarino de Paranaguá. Trabalho de Graduação (Bacharelado em Oceanografia) – Setor de Ciências da Terra, Universidade Federal do Paraná, 2015.</w:t>
      </w:r>
    </w:p>
    <w:p w:rsidR="00E47A53" w:rsidRPr="003D14FC" w:rsidRDefault="00E47A53" w:rsidP="003D14FC">
      <w:pPr>
        <w:spacing w:before="120" w:after="240" w:line="240" w:lineRule="auto"/>
        <w:jc w:val="both"/>
        <w:rPr>
          <w:color w:val="000000"/>
          <w:sz w:val="24"/>
          <w:szCs w:val="24"/>
        </w:rPr>
      </w:pPr>
      <w:r w:rsidRPr="003D14FC">
        <w:rPr>
          <w:color w:val="000000"/>
          <w:sz w:val="24"/>
          <w:szCs w:val="24"/>
        </w:rPr>
        <w:t xml:space="preserve">ANDRIGUETTO FILHO, J. M. </w:t>
      </w:r>
      <w:r w:rsidRPr="003D14FC">
        <w:rPr>
          <w:b/>
          <w:color w:val="000000"/>
          <w:sz w:val="24"/>
          <w:szCs w:val="24"/>
        </w:rPr>
        <w:t>Sistemas técnicos de pesca e suas dinâmicas de transformação no litoral do Paraná, Brasil</w:t>
      </w:r>
      <w:r w:rsidRPr="003D14FC">
        <w:rPr>
          <w:color w:val="000000"/>
          <w:sz w:val="24"/>
          <w:szCs w:val="24"/>
        </w:rPr>
        <w:t>. Tese (Doutorado em Meio Ambiente e Desenvolvimento), Universidade Federal do Paraná, 1999.</w:t>
      </w:r>
    </w:p>
    <w:p w:rsidR="00F456A5" w:rsidRPr="003D14FC" w:rsidRDefault="00F456A5" w:rsidP="003D14FC">
      <w:pPr>
        <w:pStyle w:val="Default"/>
        <w:spacing w:before="120" w:after="240"/>
        <w:jc w:val="both"/>
      </w:pPr>
      <w:r w:rsidRPr="003D14FC">
        <w:t xml:space="preserve">ARANTES, Ana Carolina. A dinâmica atual do conflito entre uso e conservação de recursos pesqueiros na Estação Ecológica de Guaraqueçaba, Paraná. </w:t>
      </w:r>
      <w:r w:rsidRPr="003D14FC">
        <w:rPr>
          <w:b/>
        </w:rPr>
        <w:t>Dissertação</w:t>
      </w:r>
      <w:r w:rsidRPr="003D14FC">
        <w:t xml:space="preserve"> de Mestrado em Meio Ambiente e</w:t>
      </w:r>
      <w:proofErr w:type="gramStart"/>
      <w:r w:rsidRPr="003D14FC">
        <w:t xml:space="preserve">   </w:t>
      </w:r>
      <w:proofErr w:type="gramEnd"/>
      <w:r w:rsidRPr="003D14FC">
        <w:t>Desenvolvimento, da Universidade Federal do Paraná, 2016.</w:t>
      </w:r>
    </w:p>
    <w:p w:rsidR="00F456A5" w:rsidRPr="003D14FC" w:rsidRDefault="00F456A5" w:rsidP="003D14FC">
      <w:pPr>
        <w:pStyle w:val="SemEspaamento"/>
        <w:spacing w:before="120" w:after="240"/>
        <w:rPr>
          <w:rFonts w:ascii="Arial" w:hAnsi="Arial" w:cs="Arial"/>
          <w:szCs w:val="24"/>
        </w:rPr>
      </w:pPr>
      <w:r w:rsidRPr="003D14FC">
        <w:rPr>
          <w:rFonts w:ascii="Arial" w:hAnsi="Arial" w:cs="Arial"/>
          <w:szCs w:val="24"/>
        </w:rPr>
        <w:t xml:space="preserve">ARRUTI, J.M.A. Sobre Políticas de Reconhecimento </w:t>
      </w:r>
      <w:r w:rsidRPr="003D14FC">
        <w:rPr>
          <w:rFonts w:ascii="Arial" w:hAnsi="Arial" w:cs="Arial"/>
          <w:szCs w:val="24"/>
        </w:rPr>
        <w:tab/>
        <w:t xml:space="preserve">e Sobreposições Territoriais. </w:t>
      </w:r>
      <w:r w:rsidRPr="003D14FC">
        <w:rPr>
          <w:rFonts w:ascii="Arial" w:hAnsi="Arial" w:cs="Arial"/>
          <w:b/>
          <w:szCs w:val="24"/>
        </w:rPr>
        <w:t xml:space="preserve">Revista </w:t>
      </w:r>
      <w:proofErr w:type="spellStart"/>
      <w:r w:rsidRPr="003D14FC">
        <w:rPr>
          <w:rFonts w:ascii="Arial" w:hAnsi="Arial" w:cs="Arial"/>
          <w:b/>
          <w:szCs w:val="24"/>
        </w:rPr>
        <w:t>Ruris</w:t>
      </w:r>
      <w:proofErr w:type="spellEnd"/>
      <w:r w:rsidRPr="003D14FC">
        <w:rPr>
          <w:rFonts w:ascii="Arial" w:hAnsi="Arial" w:cs="Arial"/>
          <w:szCs w:val="24"/>
        </w:rPr>
        <w:t xml:space="preserve">, vol.7, n°2, set.2013. Disponível em </w:t>
      </w:r>
      <w:proofErr w:type="gramStart"/>
      <w:r w:rsidRPr="003D14FC">
        <w:rPr>
          <w:rFonts w:ascii="Arial" w:hAnsi="Arial" w:cs="Arial"/>
          <w:szCs w:val="24"/>
        </w:rPr>
        <w:t>http://www.ifch.unicamp.br/ojs/index.</w:t>
      </w:r>
      <w:proofErr w:type="gramEnd"/>
      <w:r w:rsidRPr="003D14FC">
        <w:rPr>
          <w:rFonts w:ascii="Arial" w:hAnsi="Arial" w:cs="Arial"/>
          <w:szCs w:val="24"/>
        </w:rPr>
        <w:t xml:space="preserve">php/ruris/article/view/1880/1360. Acesso em </w:t>
      </w:r>
      <w:proofErr w:type="gramStart"/>
      <w:r w:rsidRPr="003D14FC">
        <w:rPr>
          <w:rFonts w:ascii="Arial" w:hAnsi="Arial" w:cs="Arial"/>
          <w:szCs w:val="24"/>
        </w:rPr>
        <w:t>15.</w:t>
      </w:r>
      <w:proofErr w:type="gramEnd"/>
      <w:r w:rsidRPr="003D14FC">
        <w:rPr>
          <w:rFonts w:ascii="Arial" w:hAnsi="Arial" w:cs="Arial"/>
          <w:szCs w:val="24"/>
        </w:rPr>
        <w:t>jun.2015</w:t>
      </w:r>
      <w:r w:rsidRPr="003D14FC">
        <w:rPr>
          <w:rFonts w:ascii="Arial" w:hAnsi="Arial" w:cs="Arial"/>
          <w:szCs w:val="24"/>
        </w:rPr>
        <w:t>.</w:t>
      </w:r>
      <w:r w:rsidRPr="003D14FC">
        <w:rPr>
          <w:rFonts w:ascii="Arial" w:hAnsi="Arial" w:cs="Arial"/>
          <w:szCs w:val="24"/>
        </w:rPr>
        <w:tab/>
      </w:r>
    </w:p>
    <w:p w:rsidR="00E47A53" w:rsidRPr="003D14FC" w:rsidRDefault="00E47A53" w:rsidP="003D14FC">
      <w:pPr>
        <w:spacing w:before="120" w:after="240" w:line="240" w:lineRule="auto"/>
        <w:jc w:val="both"/>
        <w:rPr>
          <w:sz w:val="24"/>
          <w:szCs w:val="24"/>
        </w:rPr>
      </w:pPr>
      <w:r w:rsidRPr="003D14FC">
        <w:rPr>
          <w:color w:val="000000"/>
          <w:sz w:val="24"/>
          <w:szCs w:val="24"/>
        </w:rPr>
        <w:t xml:space="preserve">AZEVEDO, N. T. </w:t>
      </w:r>
      <w:r w:rsidRPr="003D14FC">
        <w:rPr>
          <w:b/>
          <w:color w:val="000000"/>
          <w:sz w:val="24"/>
          <w:szCs w:val="24"/>
        </w:rPr>
        <w:t xml:space="preserve">Pescadores artesanais do Paraná avançam na luta pelos </w:t>
      </w:r>
      <w:r w:rsidRPr="003D14FC">
        <w:rPr>
          <w:b/>
          <w:sz w:val="24"/>
          <w:szCs w:val="24"/>
        </w:rPr>
        <w:t>Territórios Pesqueiros</w:t>
      </w:r>
      <w:r w:rsidRPr="003D14FC">
        <w:rPr>
          <w:sz w:val="24"/>
          <w:szCs w:val="24"/>
        </w:rPr>
        <w:t>. 2013. Disponível em: &lt;http://peloterritoriopesqueiro.blogspot.com.br/2013/12/pescadores-artesanais-do-parana-avancam.html&gt;. Acesso em: 14/11/2016.</w:t>
      </w:r>
    </w:p>
    <w:p w:rsidR="003D14FC" w:rsidRDefault="00F456A5" w:rsidP="003D14FC">
      <w:pPr>
        <w:pStyle w:val="SemEspaamento"/>
        <w:spacing w:before="120" w:after="240"/>
        <w:rPr>
          <w:rFonts w:ascii="Arial" w:eastAsia="Times New Roman" w:hAnsi="Arial" w:cs="Arial"/>
          <w:szCs w:val="24"/>
          <w:lang w:eastAsia="pt-BR"/>
        </w:rPr>
      </w:pPr>
      <w:r w:rsidRPr="003D14FC">
        <w:rPr>
          <w:rFonts w:ascii="Arial" w:hAnsi="Arial" w:cs="Arial"/>
          <w:szCs w:val="24"/>
        </w:rPr>
        <w:t xml:space="preserve">BAZZO, Juliane. Mato que vira mar, mar que vira mato: o território em movimento na vila de pescadores da Barra do </w:t>
      </w:r>
      <w:proofErr w:type="spellStart"/>
      <w:r w:rsidRPr="003D14FC">
        <w:rPr>
          <w:rFonts w:ascii="Arial" w:hAnsi="Arial" w:cs="Arial"/>
          <w:szCs w:val="24"/>
        </w:rPr>
        <w:t>Ararapira</w:t>
      </w:r>
      <w:proofErr w:type="spellEnd"/>
      <w:r w:rsidRPr="003D14FC">
        <w:rPr>
          <w:rFonts w:ascii="Arial" w:hAnsi="Arial" w:cs="Arial"/>
          <w:szCs w:val="24"/>
        </w:rPr>
        <w:t xml:space="preserve"> (Ilha do </w:t>
      </w:r>
      <w:proofErr w:type="spellStart"/>
      <w:r w:rsidRPr="003D14FC">
        <w:rPr>
          <w:rFonts w:ascii="Arial" w:hAnsi="Arial" w:cs="Arial"/>
          <w:szCs w:val="24"/>
        </w:rPr>
        <w:t>Superagui</w:t>
      </w:r>
      <w:proofErr w:type="spellEnd"/>
      <w:r w:rsidRPr="003D14FC">
        <w:rPr>
          <w:rFonts w:ascii="Arial" w:hAnsi="Arial" w:cs="Arial"/>
          <w:szCs w:val="24"/>
        </w:rPr>
        <w:t xml:space="preserve">, Guaraqueçaba, Paraná). </w:t>
      </w:r>
      <w:proofErr w:type="gramStart"/>
      <w:r w:rsidRPr="003D14FC">
        <w:rPr>
          <w:rFonts w:ascii="Arial" w:hAnsi="Arial" w:cs="Arial"/>
          <w:szCs w:val="24"/>
        </w:rPr>
        <w:t>2010, 287</w:t>
      </w:r>
      <w:proofErr w:type="gramEnd"/>
      <w:r w:rsidRPr="003D14FC">
        <w:rPr>
          <w:rFonts w:ascii="Arial" w:hAnsi="Arial" w:cs="Arial"/>
          <w:szCs w:val="24"/>
        </w:rPr>
        <w:t xml:space="preserve"> f. </w:t>
      </w:r>
      <w:r w:rsidRPr="003D14FC">
        <w:rPr>
          <w:rFonts w:ascii="Arial" w:hAnsi="Arial" w:cs="Arial"/>
          <w:b/>
          <w:szCs w:val="24"/>
        </w:rPr>
        <w:t>Dissertação</w:t>
      </w:r>
      <w:r w:rsidRPr="003D14FC">
        <w:rPr>
          <w:rFonts w:ascii="Arial" w:hAnsi="Arial" w:cs="Arial"/>
          <w:szCs w:val="24"/>
        </w:rPr>
        <w:t xml:space="preserve"> (Programa de Pós-Graduação em Antropologia Social) – Universidade Federal do Paraná, </w:t>
      </w:r>
      <w:r w:rsidRPr="003D14FC">
        <w:rPr>
          <w:rFonts w:ascii="Arial" w:eastAsia="Times New Roman" w:hAnsi="Arial" w:cs="Arial"/>
          <w:szCs w:val="24"/>
          <w:lang w:eastAsia="pt-BR"/>
        </w:rPr>
        <w:t xml:space="preserve">Curitiba, 2010. </w:t>
      </w:r>
    </w:p>
    <w:p w:rsidR="00E47A53" w:rsidRPr="003D14FC" w:rsidRDefault="00E47A53" w:rsidP="003D14FC">
      <w:pPr>
        <w:pStyle w:val="SemEspaamento"/>
        <w:spacing w:before="120" w:after="240"/>
        <w:rPr>
          <w:rFonts w:ascii="Arial" w:hAnsi="Arial" w:cs="Arial"/>
          <w:szCs w:val="24"/>
        </w:rPr>
      </w:pPr>
      <w:r w:rsidRPr="003D14FC">
        <w:rPr>
          <w:rFonts w:ascii="Arial" w:hAnsi="Arial" w:cs="Arial"/>
          <w:szCs w:val="24"/>
        </w:rPr>
        <w:t xml:space="preserve">BORGHETTI, N. R. B.; OSTRENSKY, A.; BORGHETTI, J.R. </w:t>
      </w:r>
      <w:r w:rsidRPr="003D14FC">
        <w:rPr>
          <w:rFonts w:ascii="Arial" w:hAnsi="Arial" w:cs="Arial"/>
          <w:b/>
          <w:szCs w:val="24"/>
        </w:rPr>
        <w:t>Aquicultura: uma visão geral sobre a produção de organismos aquáticos no Brasil e no mundo</w:t>
      </w:r>
      <w:r w:rsidRPr="003D14FC">
        <w:rPr>
          <w:rFonts w:ascii="Arial" w:hAnsi="Arial" w:cs="Arial"/>
          <w:szCs w:val="24"/>
        </w:rPr>
        <w:t>. Grupo Integrado de Aquicultura e Estudos Ambientais, Curitiba, 2003.</w:t>
      </w:r>
    </w:p>
    <w:p w:rsidR="00F456A5" w:rsidRPr="003D14FC" w:rsidRDefault="00F456A5" w:rsidP="003D14FC">
      <w:pPr>
        <w:pStyle w:val="SemEspaamento"/>
        <w:spacing w:before="120" w:after="240"/>
        <w:rPr>
          <w:rFonts w:ascii="Arial" w:hAnsi="Arial" w:cs="Arial"/>
          <w:szCs w:val="24"/>
        </w:rPr>
      </w:pPr>
      <w:r w:rsidRPr="003D14FC">
        <w:rPr>
          <w:rFonts w:ascii="Arial" w:hAnsi="Arial" w:cs="Arial"/>
          <w:szCs w:val="24"/>
        </w:rPr>
        <w:t xml:space="preserve">BRASIL. </w:t>
      </w:r>
      <w:r w:rsidRPr="003D14FC">
        <w:rPr>
          <w:rFonts w:ascii="Arial" w:hAnsi="Arial" w:cs="Arial"/>
          <w:b/>
          <w:szCs w:val="24"/>
        </w:rPr>
        <w:t>Agravo de instrumento n. 50221158720144040000</w:t>
      </w:r>
      <w:r w:rsidRPr="003D14FC">
        <w:rPr>
          <w:rFonts w:ascii="Arial" w:hAnsi="Arial" w:cs="Arial"/>
          <w:szCs w:val="24"/>
        </w:rPr>
        <w:t>. Ministério Público Federal, Procuradoria Regional da República da 4ª região. Porto Alegre, 22 de outubro de 2014 (documento digitalizado).</w:t>
      </w:r>
    </w:p>
    <w:p w:rsidR="00F456A5" w:rsidRPr="003D14FC" w:rsidRDefault="00F456A5" w:rsidP="003D14FC">
      <w:pPr>
        <w:pStyle w:val="SemEspaamento"/>
        <w:spacing w:before="120" w:after="240"/>
        <w:rPr>
          <w:rFonts w:ascii="Arial" w:hAnsi="Arial" w:cs="Arial"/>
          <w:szCs w:val="24"/>
        </w:rPr>
      </w:pPr>
      <w:r w:rsidRPr="003D14FC">
        <w:rPr>
          <w:rFonts w:ascii="Arial" w:hAnsi="Arial" w:cs="Arial"/>
          <w:szCs w:val="24"/>
        </w:rPr>
        <w:t xml:space="preserve">BRASIL. </w:t>
      </w:r>
      <w:r w:rsidRPr="003D14FC">
        <w:rPr>
          <w:rFonts w:ascii="Arial" w:hAnsi="Arial" w:cs="Arial"/>
          <w:b/>
          <w:szCs w:val="24"/>
        </w:rPr>
        <w:t>Autos nº 5000189-75.2014.404.7008</w:t>
      </w:r>
      <w:r w:rsidRPr="003D14FC">
        <w:rPr>
          <w:rFonts w:ascii="Arial" w:hAnsi="Arial" w:cs="Arial"/>
          <w:szCs w:val="24"/>
        </w:rPr>
        <w:t>. Ministério Público Federal, Procuradoria da República em Paranaguá - 6ª Câmara de Coordenação e Revisão. Paranaguá, 22 de setembro de 2014 (documento digitalizado).</w:t>
      </w:r>
    </w:p>
    <w:p w:rsidR="00E47A53" w:rsidRPr="003D14FC" w:rsidRDefault="00E47A53" w:rsidP="003D14FC">
      <w:pPr>
        <w:pStyle w:val="SemEspaamento"/>
        <w:spacing w:before="120" w:after="240"/>
        <w:rPr>
          <w:rFonts w:ascii="Arial" w:hAnsi="Arial" w:cs="Arial"/>
          <w:szCs w:val="24"/>
        </w:rPr>
      </w:pPr>
    </w:p>
    <w:p w:rsidR="00E47A53" w:rsidRPr="003D14FC" w:rsidRDefault="00E47A53" w:rsidP="003D14FC">
      <w:pPr>
        <w:spacing w:before="120" w:after="240" w:line="240" w:lineRule="auto"/>
        <w:jc w:val="both"/>
        <w:rPr>
          <w:color w:val="000000"/>
          <w:sz w:val="24"/>
          <w:szCs w:val="24"/>
        </w:rPr>
      </w:pPr>
      <w:r w:rsidRPr="003D14FC">
        <w:rPr>
          <w:color w:val="000000"/>
          <w:sz w:val="24"/>
          <w:szCs w:val="24"/>
        </w:rPr>
        <w:lastRenderedPageBreak/>
        <w:t xml:space="preserve">BRASIL. Decreto federal nº 6040/2007 da Política Nacional </w:t>
      </w:r>
      <w:proofErr w:type="gramStart"/>
      <w:r w:rsidRPr="003D14FC">
        <w:rPr>
          <w:color w:val="000000"/>
          <w:sz w:val="24"/>
          <w:szCs w:val="24"/>
        </w:rPr>
        <w:t>do Povos</w:t>
      </w:r>
      <w:proofErr w:type="gramEnd"/>
      <w:r w:rsidRPr="003D14FC">
        <w:rPr>
          <w:color w:val="000000"/>
          <w:sz w:val="24"/>
          <w:szCs w:val="24"/>
        </w:rPr>
        <w:t xml:space="preserve"> e Comunidades </w:t>
      </w:r>
      <w:proofErr w:type="spellStart"/>
      <w:r w:rsidRPr="003D14FC">
        <w:rPr>
          <w:color w:val="000000"/>
          <w:sz w:val="24"/>
          <w:szCs w:val="24"/>
        </w:rPr>
        <w:t>Tradionais</w:t>
      </w:r>
      <w:proofErr w:type="spellEnd"/>
      <w:r w:rsidRPr="003D14FC">
        <w:rPr>
          <w:color w:val="000000"/>
          <w:sz w:val="24"/>
          <w:szCs w:val="24"/>
        </w:rPr>
        <w:t xml:space="preserve">. Publicado no Diário Oficial da União em 08 de fevereiro de 2007. </w:t>
      </w:r>
    </w:p>
    <w:p w:rsidR="00E47A53" w:rsidRPr="003D14FC" w:rsidRDefault="00E47A53" w:rsidP="003D14FC">
      <w:pPr>
        <w:spacing w:before="120" w:after="240" w:line="240" w:lineRule="auto"/>
        <w:jc w:val="both"/>
        <w:rPr>
          <w:sz w:val="24"/>
          <w:szCs w:val="24"/>
        </w:rPr>
      </w:pPr>
      <w:r w:rsidRPr="003D14FC">
        <w:rPr>
          <w:color w:val="000000"/>
          <w:sz w:val="24"/>
          <w:szCs w:val="24"/>
        </w:rPr>
        <w:t>BRASIL. Decreto nº 5051 – Convenção OIT 169 sobre Povos Indígenas e Tribais. Publicado do Diário da União em 19 de abril de 2004.</w:t>
      </w:r>
    </w:p>
    <w:p w:rsidR="00F456A5" w:rsidRPr="003D14FC" w:rsidRDefault="00F456A5" w:rsidP="003D14FC">
      <w:pPr>
        <w:pStyle w:val="SemEspaamento"/>
        <w:spacing w:before="120" w:after="240"/>
        <w:rPr>
          <w:rFonts w:ascii="Arial" w:hAnsi="Arial" w:cs="Arial"/>
          <w:szCs w:val="24"/>
        </w:rPr>
      </w:pPr>
      <w:r w:rsidRPr="003D14FC">
        <w:rPr>
          <w:rFonts w:ascii="Arial" w:hAnsi="Arial" w:cs="Arial"/>
          <w:szCs w:val="24"/>
        </w:rPr>
        <w:t xml:space="preserve">BRASIL. Ministério do Meio Ambiente. </w:t>
      </w:r>
      <w:r w:rsidRPr="003D14FC">
        <w:rPr>
          <w:rFonts w:ascii="Arial" w:hAnsi="Arial" w:cs="Arial"/>
          <w:b/>
          <w:szCs w:val="24"/>
        </w:rPr>
        <w:t>A unidade de conservação e o território</w:t>
      </w:r>
      <w:r w:rsidRPr="003D14FC">
        <w:rPr>
          <w:rFonts w:ascii="Arial" w:hAnsi="Arial" w:cs="Arial"/>
          <w:szCs w:val="24"/>
        </w:rPr>
        <w:t xml:space="preserve">: Reconhecendo o contexto socioambiental e geopolítico. Série Educação Ambiental e Comunicação em Unidades de Conservação. </w:t>
      </w:r>
      <w:proofErr w:type="spellStart"/>
      <w:proofErr w:type="gramStart"/>
      <w:r w:rsidRPr="003D14FC">
        <w:rPr>
          <w:rFonts w:ascii="Arial" w:hAnsi="Arial" w:cs="Arial"/>
          <w:szCs w:val="24"/>
        </w:rPr>
        <w:t>Brasília:</w:t>
      </w:r>
      <w:proofErr w:type="gramEnd"/>
      <w:r w:rsidRPr="003D14FC">
        <w:rPr>
          <w:rFonts w:ascii="Arial" w:hAnsi="Arial" w:cs="Arial"/>
          <w:szCs w:val="24"/>
        </w:rPr>
        <w:t>MMA</w:t>
      </w:r>
      <w:proofErr w:type="spellEnd"/>
      <w:r w:rsidRPr="003D14FC">
        <w:rPr>
          <w:rFonts w:ascii="Arial" w:hAnsi="Arial" w:cs="Arial"/>
          <w:szCs w:val="24"/>
        </w:rPr>
        <w:t>, 2015.</w:t>
      </w:r>
    </w:p>
    <w:p w:rsidR="00F456A5" w:rsidRPr="003D14FC" w:rsidRDefault="00F456A5" w:rsidP="003D14FC">
      <w:pPr>
        <w:pStyle w:val="Default"/>
        <w:spacing w:before="120" w:after="240"/>
        <w:jc w:val="both"/>
      </w:pPr>
      <w:r w:rsidRPr="003D14FC">
        <w:t xml:space="preserve">CAMPOS, L. A. de P.; KOMARCHESKI, Rosilene; SULZBACH, M. T. Conflitos socioambientais em </w:t>
      </w:r>
      <w:proofErr w:type="gramStart"/>
      <w:r w:rsidRPr="003D14FC">
        <w:t>Guaraqueçaba-PR</w:t>
      </w:r>
      <w:proofErr w:type="gramEnd"/>
      <w:r w:rsidRPr="003D14FC">
        <w:t xml:space="preserve">: o caso da rodovia da banana. In: </w:t>
      </w:r>
      <w:r w:rsidRPr="003D14FC">
        <w:rPr>
          <w:b/>
        </w:rPr>
        <w:t xml:space="preserve">Anais </w:t>
      </w:r>
      <w:r w:rsidRPr="003D14FC">
        <w:t xml:space="preserve">da II Jornada de Questão Agrária e Desenvolvimento: projetos sociais e políticas públicas em disputa. Curitiba: UFPR, 2013. </w:t>
      </w:r>
      <w:proofErr w:type="gramStart"/>
      <w:r w:rsidRPr="003D14FC">
        <w:t>v.</w:t>
      </w:r>
      <w:proofErr w:type="gramEnd"/>
      <w:r w:rsidRPr="003D14FC">
        <w:t xml:space="preserve"> 1.</w:t>
      </w:r>
    </w:p>
    <w:p w:rsidR="00F456A5" w:rsidRPr="003D14FC" w:rsidRDefault="00F456A5" w:rsidP="003D14FC">
      <w:pPr>
        <w:pStyle w:val="Default"/>
        <w:spacing w:before="120" w:after="240"/>
        <w:jc w:val="both"/>
      </w:pPr>
      <w:r w:rsidRPr="003D14FC">
        <w:t xml:space="preserve">CAMPOS, L. A. de P.; KOMARCHESKI, Rosilene; SULZBACH, M. T. Conflitos territoriais no meio rural de Guaraqueçaba - PR. In: </w:t>
      </w:r>
      <w:proofErr w:type="gramStart"/>
      <w:r w:rsidRPr="003D14FC">
        <w:rPr>
          <w:b/>
        </w:rPr>
        <w:t xml:space="preserve">Anais </w:t>
      </w:r>
      <w:r w:rsidRPr="003D14FC">
        <w:t>VI</w:t>
      </w:r>
      <w:proofErr w:type="gramEnd"/>
      <w:r w:rsidRPr="003D14FC">
        <w:t xml:space="preserve"> Encontro da Rede de Estudos Rurais: desigualdade, exclusão e conflitos nos espaços rurais. Campinas: Unicamp, 2014.</w:t>
      </w:r>
    </w:p>
    <w:p w:rsidR="00E47A53" w:rsidRPr="003D14FC" w:rsidRDefault="00E47A53" w:rsidP="003D14FC">
      <w:pPr>
        <w:spacing w:before="120" w:after="240" w:line="240" w:lineRule="auto"/>
        <w:jc w:val="both"/>
        <w:rPr>
          <w:rFonts w:eastAsia="Calibri"/>
          <w:sz w:val="24"/>
          <w:szCs w:val="24"/>
        </w:rPr>
      </w:pPr>
      <w:r w:rsidRPr="003D14FC">
        <w:rPr>
          <w:rFonts w:eastAsia="Calibri"/>
          <w:sz w:val="24"/>
          <w:szCs w:val="24"/>
        </w:rPr>
        <w:t xml:space="preserve">CASTELLA, R. M. B.; CASTELLA, P. R.; FIGUEIREDO, D. C. S.; QUEIROZ, S. M. P. </w:t>
      </w:r>
      <w:r w:rsidRPr="003D14FC">
        <w:rPr>
          <w:rFonts w:eastAsia="Calibri"/>
          <w:b/>
          <w:sz w:val="24"/>
          <w:szCs w:val="24"/>
        </w:rPr>
        <w:t>Paraná - Mar e Costa</w:t>
      </w:r>
      <w:r w:rsidRPr="003D14FC">
        <w:rPr>
          <w:rFonts w:eastAsia="Calibri"/>
          <w:sz w:val="24"/>
          <w:szCs w:val="24"/>
        </w:rPr>
        <w:t>: Subsídios ao ordenamento das áreas estuarina e costeira do Paraná. Curitiba: 2006.</w:t>
      </w:r>
    </w:p>
    <w:p w:rsidR="00F456A5" w:rsidRPr="003D14FC" w:rsidRDefault="00F456A5" w:rsidP="003D14FC">
      <w:pPr>
        <w:pStyle w:val="SemEspaamento"/>
        <w:spacing w:before="120" w:after="240"/>
        <w:rPr>
          <w:rFonts w:ascii="Arial" w:hAnsi="Arial" w:cs="Arial"/>
          <w:szCs w:val="24"/>
        </w:rPr>
      </w:pPr>
      <w:r w:rsidRPr="003D14FC">
        <w:rPr>
          <w:rFonts w:ascii="Arial" w:hAnsi="Arial" w:cs="Arial"/>
          <w:szCs w:val="24"/>
        </w:rPr>
        <w:t xml:space="preserve">COELHO, Karina. Entre "ilhas" e "comunidades": Articulações políticas e conflitos socioambientais no Parque Nacional do </w:t>
      </w:r>
      <w:proofErr w:type="spellStart"/>
      <w:r w:rsidRPr="003D14FC">
        <w:rPr>
          <w:rFonts w:ascii="Arial" w:hAnsi="Arial" w:cs="Arial"/>
          <w:szCs w:val="24"/>
        </w:rPr>
        <w:t>Superagui</w:t>
      </w:r>
      <w:proofErr w:type="spellEnd"/>
      <w:r w:rsidRPr="003D14FC">
        <w:rPr>
          <w:rFonts w:ascii="Arial" w:hAnsi="Arial" w:cs="Arial"/>
          <w:szCs w:val="24"/>
        </w:rPr>
        <w:t xml:space="preserve">. </w:t>
      </w:r>
      <w:r w:rsidRPr="003D14FC">
        <w:rPr>
          <w:rFonts w:ascii="Arial" w:hAnsi="Arial" w:cs="Arial"/>
          <w:b/>
          <w:szCs w:val="24"/>
        </w:rPr>
        <w:t xml:space="preserve">Dissertação </w:t>
      </w:r>
      <w:r w:rsidRPr="003D14FC">
        <w:rPr>
          <w:rFonts w:ascii="Arial" w:hAnsi="Arial" w:cs="Arial"/>
          <w:szCs w:val="24"/>
        </w:rPr>
        <w:t>de Mestrado do Programa de Pós-Graduação em Antropologia da Universidade Federal do Paraná. UFPR, Curitiba, 2010.</w:t>
      </w:r>
    </w:p>
    <w:p w:rsidR="00E47A53" w:rsidRDefault="00E47A53" w:rsidP="003D14FC">
      <w:pPr>
        <w:spacing w:before="120" w:after="240" w:line="240" w:lineRule="auto"/>
        <w:jc w:val="both"/>
        <w:rPr>
          <w:sz w:val="24"/>
          <w:szCs w:val="24"/>
        </w:rPr>
      </w:pPr>
      <w:r w:rsidRPr="003D14FC">
        <w:rPr>
          <w:sz w:val="24"/>
          <w:szCs w:val="24"/>
          <w:highlight w:val="white"/>
        </w:rPr>
        <w:t xml:space="preserve">CONSELHO DE AUTORIDADE PORTUÁRIA DO PORTO DE PARANAGUÁ. Disponível </w:t>
      </w:r>
      <w:proofErr w:type="gramStart"/>
      <w:r w:rsidRPr="003D14FC">
        <w:rPr>
          <w:sz w:val="24"/>
          <w:szCs w:val="24"/>
          <w:highlight w:val="white"/>
        </w:rPr>
        <w:t>em</w:t>
      </w:r>
      <w:r w:rsidRPr="005003C0">
        <w:rPr>
          <w:sz w:val="24"/>
          <w:szCs w:val="24"/>
          <w:highlight w:val="white"/>
        </w:rPr>
        <w:t>:</w:t>
      </w:r>
      <w:proofErr w:type="gramEnd"/>
      <w:r w:rsidRPr="005003C0">
        <w:rPr>
          <w:sz w:val="24"/>
          <w:szCs w:val="24"/>
        </w:rPr>
        <w:fldChar w:fldCharType="begin"/>
      </w:r>
      <w:r w:rsidRPr="005003C0">
        <w:rPr>
          <w:sz w:val="24"/>
          <w:szCs w:val="24"/>
        </w:rPr>
        <w:instrText xml:space="preserve"> HYPERLINK "http://www.autoridadeportuaria.pr.gov.br/" \h </w:instrText>
      </w:r>
      <w:r w:rsidRPr="005003C0">
        <w:rPr>
          <w:sz w:val="24"/>
          <w:szCs w:val="24"/>
        </w:rPr>
        <w:fldChar w:fldCharType="separate"/>
      </w:r>
      <w:r w:rsidRPr="005003C0">
        <w:rPr>
          <w:sz w:val="24"/>
          <w:szCs w:val="24"/>
          <w:highlight w:val="white"/>
        </w:rPr>
        <w:t xml:space="preserve"> </w:t>
      </w:r>
      <w:r w:rsidRPr="005003C0">
        <w:rPr>
          <w:sz w:val="24"/>
          <w:szCs w:val="24"/>
          <w:highlight w:val="white"/>
        </w:rPr>
        <w:fldChar w:fldCharType="end"/>
      </w:r>
      <w:r w:rsidRPr="005003C0">
        <w:rPr>
          <w:sz w:val="24"/>
          <w:szCs w:val="24"/>
          <w:highlight w:val="white"/>
        </w:rPr>
        <w:t>http://www.autoridadeportuaria.pr.gov.br</w:t>
      </w:r>
      <w:r w:rsidRPr="003D14FC">
        <w:rPr>
          <w:sz w:val="24"/>
          <w:szCs w:val="24"/>
          <w:highlight w:val="white"/>
        </w:rPr>
        <w:t>.  Acesso em 10/10/2016</w:t>
      </w:r>
    </w:p>
    <w:p w:rsidR="005003C0" w:rsidRPr="003D14FC" w:rsidRDefault="005003C0" w:rsidP="005003C0">
      <w:pPr>
        <w:spacing w:before="120" w:after="240" w:line="240" w:lineRule="auto"/>
        <w:jc w:val="both"/>
        <w:rPr>
          <w:sz w:val="24"/>
          <w:szCs w:val="24"/>
        </w:rPr>
      </w:pPr>
      <w:r w:rsidRPr="005003C0">
        <w:rPr>
          <w:sz w:val="24"/>
          <w:szCs w:val="24"/>
        </w:rPr>
        <w:t>CONSELHO</w:t>
      </w:r>
      <w:r>
        <w:rPr>
          <w:sz w:val="24"/>
          <w:szCs w:val="24"/>
        </w:rPr>
        <w:t xml:space="preserve"> DE DESENVOLVIMENTO</w:t>
      </w:r>
      <w:r w:rsidRPr="005003C0">
        <w:rPr>
          <w:sz w:val="24"/>
          <w:szCs w:val="24"/>
        </w:rPr>
        <w:t xml:space="preserve"> DO LITORAL, Plano Diretor de Desenvolvimento Integrado do</w:t>
      </w:r>
      <w:r>
        <w:rPr>
          <w:sz w:val="24"/>
          <w:szCs w:val="24"/>
        </w:rPr>
        <w:t xml:space="preserve"> </w:t>
      </w:r>
      <w:r w:rsidRPr="005003C0">
        <w:rPr>
          <w:sz w:val="24"/>
          <w:szCs w:val="24"/>
        </w:rPr>
        <w:t xml:space="preserve">Município de Pontal do Paraná. Disponível </w:t>
      </w:r>
      <w:proofErr w:type="spellStart"/>
      <w:proofErr w:type="gramStart"/>
      <w:r w:rsidRPr="005003C0">
        <w:rPr>
          <w:sz w:val="24"/>
          <w:szCs w:val="24"/>
        </w:rPr>
        <w:t>em:</w:t>
      </w:r>
      <w:proofErr w:type="gramEnd"/>
      <w:r w:rsidRPr="005003C0">
        <w:rPr>
          <w:sz w:val="24"/>
          <w:szCs w:val="24"/>
        </w:rPr>
        <w:t>http</w:t>
      </w:r>
      <w:proofErr w:type="spellEnd"/>
      <w:r w:rsidRPr="005003C0">
        <w:rPr>
          <w:sz w:val="24"/>
          <w:szCs w:val="24"/>
        </w:rPr>
        <w:t>://www.meioambiente.pr.gov.br/ arquivos/File/</w:t>
      </w:r>
      <w:proofErr w:type="spellStart"/>
      <w:r w:rsidRPr="005003C0">
        <w:rPr>
          <w:sz w:val="24"/>
          <w:szCs w:val="24"/>
        </w:rPr>
        <w:t>colit</w:t>
      </w:r>
      <w:proofErr w:type="spellEnd"/>
      <w:r w:rsidRPr="005003C0">
        <w:rPr>
          <w:sz w:val="24"/>
          <w:szCs w:val="24"/>
        </w:rPr>
        <w:t xml:space="preserve">/caderno2_a.pdf -2004. </w:t>
      </w:r>
      <w:proofErr w:type="gramStart"/>
      <w:r w:rsidRPr="005003C0">
        <w:rPr>
          <w:sz w:val="24"/>
          <w:szCs w:val="24"/>
        </w:rPr>
        <w:t>pág.</w:t>
      </w:r>
      <w:proofErr w:type="gramEnd"/>
      <w:r w:rsidRPr="005003C0">
        <w:rPr>
          <w:sz w:val="24"/>
          <w:szCs w:val="24"/>
        </w:rPr>
        <w:t xml:space="preserve"> 21p.</w:t>
      </w:r>
    </w:p>
    <w:p w:rsidR="00F456A5" w:rsidRPr="003D14FC" w:rsidRDefault="00F456A5" w:rsidP="003D14FC">
      <w:pPr>
        <w:pStyle w:val="SemEspaamento"/>
        <w:spacing w:before="120" w:after="240"/>
        <w:rPr>
          <w:rFonts w:ascii="Arial" w:hAnsi="Arial" w:cs="Arial"/>
          <w:szCs w:val="24"/>
        </w:rPr>
      </w:pPr>
      <w:r w:rsidRPr="003D14FC">
        <w:rPr>
          <w:rFonts w:ascii="Arial" w:hAnsi="Arial" w:cs="Arial"/>
          <w:szCs w:val="24"/>
        </w:rPr>
        <w:t xml:space="preserve">CORNETTA, André. A Mata Atlântica Privada: Conflitos Agrários na APA de </w:t>
      </w:r>
    </w:p>
    <w:p w:rsidR="00F456A5" w:rsidRPr="003D14FC" w:rsidRDefault="00F456A5" w:rsidP="003D14FC">
      <w:pPr>
        <w:pStyle w:val="SemEspaamento"/>
        <w:spacing w:before="120" w:after="240"/>
        <w:rPr>
          <w:rFonts w:ascii="Arial" w:hAnsi="Arial" w:cs="Arial"/>
          <w:szCs w:val="24"/>
        </w:rPr>
      </w:pPr>
      <w:r w:rsidRPr="003D14FC">
        <w:rPr>
          <w:rFonts w:ascii="Arial" w:hAnsi="Arial" w:cs="Arial"/>
          <w:szCs w:val="24"/>
        </w:rPr>
        <w:t xml:space="preserve">Guaraqueçaba – PR. </w:t>
      </w:r>
      <w:r w:rsidRPr="003D14FC">
        <w:rPr>
          <w:rFonts w:ascii="Arial" w:hAnsi="Arial" w:cs="Arial"/>
          <w:b/>
          <w:szCs w:val="24"/>
        </w:rPr>
        <w:t>Anais</w:t>
      </w:r>
      <w:r w:rsidRPr="003D14FC">
        <w:rPr>
          <w:rFonts w:ascii="Arial" w:hAnsi="Arial" w:cs="Arial"/>
          <w:szCs w:val="24"/>
        </w:rPr>
        <w:t>. III Simpósio Nacional de Geografia Agrária – II Simpósio Internacional de Geografia Agrária Jornada Ariovaldo Umbelino de Oliveira – Presidente Prudente- SP, 2005.</w:t>
      </w:r>
    </w:p>
    <w:p w:rsidR="003D14FC" w:rsidRPr="003D14FC" w:rsidRDefault="003D14FC" w:rsidP="003D14FC">
      <w:pPr>
        <w:spacing w:before="120" w:after="240" w:line="240" w:lineRule="auto"/>
        <w:jc w:val="both"/>
        <w:rPr>
          <w:sz w:val="24"/>
          <w:szCs w:val="24"/>
        </w:rPr>
      </w:pPr>
      <w:r w:rsidRPr="003D14FC">
        <w:rPr>
          <w:sz w:val="24"/>
          <w:szCs w:val="24"/>
        </w:rPr>
        <w:t>CORRÊA, J; GRAMANI, D; PIMENTEL, A. (</w:t>
      </w:r>
      <w:proofErr w:type="spellStart"/>
      <w:r w:rsidRPr="003D14FC">
        <w:rPr>
          <w:sz w:val="24"/>
          <w:szCs w:val="24"/>
        </w:rPr>
        <w:t>org</w:t>
      </w:r>
      <w:proofErr w:type="spellEnd"/>
      <w:r w:rsidRPr="003D14FC">
        <w:rPr>
          <w:sz w:val="24"/>
          <w:szCs w:val="24"/>
        </w:rPr>
        <w:t>). Museu Vivo do Fandango. Rio de Janeiro: Associação Cultural Caburé, 2006.</w:t>
      </w:r>
    </w:p>
    <w:p w:rsidR="00F456A5" w:rsidRPr="003D14FC" w:rsidRDefault="00F456A5" w:rsidP="003D14FC">
      <w:pPr>
        <w:spacing w:before="120" w:after="240" w:line="240" w:lineRule="auto"/>
        <w:jc w:val="both"/>
        <w:rPr>
          <w:sz w:val="24"/>
          <w:szCs w:val="24"/>
        </w:rPr>
      </w:pPr>
      <w:r w:rsidRPr="003D14FC">
        <w:rPr>
          <w:sz w:val="24"/>
          <w:szCs w:val="24"/>
        </w:rPr>
        <w:t xml:space="preserve">DEFENSORIA PÚBLICA DO ESTADO DO PARANÁ. </w:t>
      </w:r>
      <w:r w:rsidRPr="003D14FC">
        <w:rPr>
          <w:b/>
          <w:sz w:val="24"/>
          <w:szCs w:val="24"/>
        </w:rPr>
        <w:t>DPPR e DPU ganham medida liminar a favor de comunidades tradicionais.</w:t>
      </w:r>
      <w:r w:rsidRPr="003D14FC">
        <w:rPr>
          <w:sz w:val="24"/>
          <w:szCs w:val="24"/>
        </w:rPr>
        <w:t xml:space="preserve"> 28 mai. 2015. Disponível em: http://goo.gl/VQfBxW. Acesso em: 09 out. 2015.</w:t>
      </w:r>
    </w:p>
    <w:p w:rsidR="00F64820" w:rsidRPr="003D14FC" w:rsidRDefault="00F64820" w:rsidP="003D14FC">
      <w:pPr>
        <w:spacing w:before="120" w:after="240" w:line="240" w:lineRule="auto"/>
        <w:jc w:val="both"/>
        <w:rPr>
          <w:rFonts w:eastAsia="Arial"/>
          <w:sz w:val="24"/>
          <w:szCs w:val="24"/>
        </w:rPr>
      </w:pPr>
      <w:r w:rsidRPr="003D14FC">
        <w:rPr>
          <w:rFonts w:eastAsia="Arial"/>
          <w:sz w:val="24"/>
          <w:szCs w:val="24"/>
        </w:rPr>
        <w:lastRenderedPageBreak/>
        <w:t>DIEGUES, A. (</w:t>
      </w:r>
      <w:proofErr w:type="spellStart"/>
      <w:r w:rsidRPr="003D14FC">
        <w:rPr>
          <w:rFonts w:eastAsia="Arial"/>
          <w:sz w:val="24"/>
          <w:szCs w:val="24"/>
        </w:rPr>
        <w:t>org</w:t>
      </w:r>
      <w:proofErr w:type="spellEnd"/>
      <w:r w:rsidRPr="003D14FC">
        <w:rPr>
          <w:rFonts w:eastAsia="Arial"/>
          <w:sz w:val="24"/>
          <w:szCs w:val="24"/>
        </w:rPr>
        <w:t xml:space="preserve">). Enciclopédia Caiçara, volume </w:t>
      </w:r>
      <w:proofErr w:type="gramStart"/>
      <w:r w:rsidRPr="003D14FC">
        <w:rPr>
          <w:rFonts w:eastAsia="Arial"/>
          <w:sz w:val="24"/>
          <w:szCs w:val="24"/>
        </w:rPr>
        <w:t>4</w:t>
      </w:r>
      <w:proofErr w:type="gramEnd"/>
      <w:r w:rsidRPr="003D14FC">
        <w:rPr>
          <w:rFonts w:eastAsia="Arial"/>
          <w:sz w:val="24"/>
          <w:szCs w:val="24"/>
        </w:rPr>
        <w:t xml:space="preserve">: História e memória caiçara. São Paulo: </w:t>
      </w:r>
      <w:proofErr w:type="spellStart"/>
      <w:r w:rsidRPr="003D14FC">
        <w:rPr>
          <w:rFonts w:eastAsia="Arial"/>
          <w:sz w:val="24"/>
          <w:szCs w:val="24"/>
        </w:rPr>
        <w:t>Hucitec</w:t>
      </w:r>
      <w:proofErr w:type="spellEnd"/>
      <w:r w:rsidRPr="003D14FC">
        <w:rPr>
          <w:rFonts w:eastAsia="Arial"/>
          <w:sz w:val="24"/>
          <w:szCs w:val="24"/>
        </w:rPr>
        <w:t>: 2004.</w:t>
      </w:r>
    </w:p>
    <w:p w:rsidR="003D14FC" w:rsidRDefault="00F64820" w:rsidP="003D14FC">
      <w:pPr>
        <w:spacing w:before="120" w:after="240" w:line="240" w:lineRule="auto"/>
        <w:jc w:val="both"/>
        <w:rPr>
          <w:rFonts w:eastAsia="Arial"/>
          <w:sz w:val="24"/>
          <w:szCs w:val="24"/>
        </w:rPr>
      </w:pPr>
      <w:r w:rsidRPr="003D14FC">
        <w:rPr>
          <w:rFonts w:eastAsia="Arial"/>
          <w:sz w:val="24"/>
          <w:szCs w:val="24"/>
        </w:rPr>
        <w:t>DIEGUES, A. (</w:t>
      </w:r>
      <w:proofErr w:type="spellStart"/>
      <w:r w:rsidRPr="003D14FC">
        <w:rPr>
          <w:rFonts w:eastAsia="Arial"/>
          <w:sz w:val="24"/>
          <w:szCs w:val="24"/>
        </w:rPr>
        <w:t>org</w:t>
      </w:r>
      <w:proofErr w:type="spellEnd"/>
      <w:r w:rsidRPr="003D14FC">
        <w:rPr>
          <w:rFonts w:eastAsia="Arial"/>
          <w:sz w:val="24"/>
          <w:szCs w:val="24"/>
        </w:rPr>
        <w:t xml:space="preserve">). Enciclopédia Caiçara, volume </w:t>
      </w:r>
      <w:proofErr w:type="gramStart"/>
      <w:r w:rsidRPr="003D14FC">
        <w:rPr>
          <w:rFonts w:eastAsia="Arial"/>
          <w:sz w:val="24"/>
          <w:szCs w:val="24"/>
        </w:rPr>
        <w:t>5</w:t>
      </w:r>
      <w:proofErr w:type="gramEnd"/>
      <w:r w:rsidRPr="003D14FC">
        <w:rPr>
          <w:rFonts w:eastAsia="Arial"/>
          <w:sz w:val="24"/>
          <w:szCs w:val="24"/>
        </w:rPr>
        <w:t xml:space="preserve">: festas, lendas e mitos caiçaras. São Paulo: </w:t>
      </w:r>
      <w:proofErr w:type="spellStart"/>
      <w:r w:rsidRPr="003D14FC">
        <w:rPr>
          <w:rFonts w:eastAsia="Arial"/>
          <w:sz w:val="24"/>
          <w:szCs w:val="24"/>
        </w:rPr>
        <w:t>Hucitec</w:t>
      </w:r>
      <w:proofErr w:type="spellEnd"/>
      <w:r w:rsidRPr="003D14FC">
        <w:rPr>
          <w:rFonts w:eastAsia="Arial"/>
          <w:sz w:val="24"/>
          <w:szCs w:val="24"/>
        </w:rPr>
        <w:t>: 2006.</w:t>
      </w:r>
    </w:p>
    <w:p w:rsidR="00F456A5" w:rsidRPr="003D14FC" w:rsidRDefault="00F456A5" w:rsidP="003D14FC">
      <w:pPr>
        <w:spacing w:before="120" w:after="240" w:line="240" w:lineRule="auto"/>
        <w:jc w:val="both"/>
        <w:rPr>
          <w:rFonts w:eastAsia="Arial"/>
          <w:sz w:val="24"/>
          <w:szCs w:val="24"/>
        </w:rPr>
      </w:pPr>
      <w:r w:rsidRPr="003D14FC">
        <w:rPr>
          <w:sz w:val="24"/>
          <w:szCs w:val="24"/>
        </w:rPr>
        <w:t xml:space="preserve">DUARTE, </w:t>
      </w:r>
      <w:r w:rsidR="00E47A53" w:rsidRPr="003D14FC">
        <w:rPr>
          <w:sz w:val="24"/>
          <w:szCs w:val="24"/>
        </w:rPr>
        <w:t>L.A.</w:t>
      </w:r>
      <w:r w:rsidRPr="003D14FC">
        <w:rPr>
          <w:sz w:val="24"/>
          <w:szCs w:val="24"/>
        </w:rPr>
        <w:t xml:space="preserve"> Argonautas do </w:t>
      </w:r>
      <w:proofErr w:type="spellStart"/>
      <w:r w:rsidRPr="003D14FC">
        <w:rPr>
          <w:sz w:val="24"/>
          <w:szCs w:val="24"/>
        </w:rPr>
        <w:t>Superagui</w:t>
      </w:r>
      <w:proofErr w:type="spellEnd"/>
      <w:r w:rsidRPr="003D14FC">
        <w:rPr>
          <w:sz w:val="24"/>
          <w:szCs w:val="24"/>
        </w:rPr>
        <w:t xml:space="preserve">: Identidade, Território e Conflito em um Parque Nacional Brasileiro. </w:t>
      </w:r>
      <w:r w:rsidRPr="003D14FC">
        <w:rPr>
          <w:b/>
          <w:sz w:val="24"/>
          <w:szCs w:val="24"/>
        </w:rPr>
        <w:t>Dissertação</w:t>
      </w:r>
      <w:r w:rsidRPr="003D14FC">
        <w:rPr>
          <w:sz w:val="24"/>
          <w:szCs w:val="24"/>
        </w:rPr>
        <w:t xml:space="preserve"> de mestrado apresentada ao Curso de Mestrado Profissional do Programa de Pós-Graduação em Planejamento Territorial e Desenvolvimento Socioambiental do Centro de Ciências Humanas e da Educação da Universidade do Estado de Santa Catarina. 2013.</w:t>
      </w:r>
    </w:p>
    <w:p w:rsidR="00E47A53" w:rsidRPr="003D14FC" w:rsidRDefault="00E47A53" w:rsidP="003D14FC">
      <w:pPr>
        <w:spacing w:before="120" w:after="240" w:line="240" w:lineRule="auto"/>
        <w:jc w:val="both"/>
        <w:rPr>
          <w:color w:val="141313"/>
          <w:sz w:val="24"/>
          <w:szCs w:val="24"/>
        </w:rPr>
      </w:pPr>
      <w:r w:rsidRPr="003D14FC">
        <w:rPr>
          <w:iCs/>
          <w:color w:val="000000"/>
          <w:sz w:val="24"/>
          <w:szCs w:val="24"/>
        </w:rPr>
        <w:t xml:space="preserve">FARACO, L. F. D. </w:t>
      </w:r>
      <w:r w:rsidRPr="003D14FC">
        <w:rPr>
          <w:b/>
          <w:color w:val="141313"/>
          <w:sz w:val="24"/>
          <w:szCs w:val="24"/>
        </w:rPr>
        <w:t>Vulnerabilidade de pescadores paranaenses às mudanças climáticas e os fatores que influenciam suas estratégias de adaptação</w:t>
      </w:r>
      <w:r w:rsidRPr="003D14FC">
        <w:rPr>
          <w:color w:val="141313"/>
          <w:sz w:val="24"/>
          <w:szCs w:val="24"/>
        </w:rPr>
        <w:t xml:space="preserve">. Tese (Doutorado em Meio Ambiente e Desenvolvimento), Universidade Federal do Paraná, Curitiba, 2012. </w:t>
      </w:r>
    </w:p>
    <w:p w:rsidR="00E47A53" w:rsidRPr="003D14FC" w:rsidRDefault="00E47A53" w:rsidP="003D14FC">
      <w:pPr>
        <w:spacing w:before="120" w:after="240" w:line="240" w:lineRule="auto"/>
        <w:jc w:val="both"/>
        <w:rPr>
          <w:bCs/>
          <w:sz w:val="24"/>
          <w:szCs w:val="24"/>
        </w:rPr>
      </w:pPr>
      <w:r w:rsidRPr="003D14FC">
        <w:rPr>
          <w:bCs/>
          <w:sz w:val="24"/>
          <w:szCs w:val="24"/>
        </w:rPr>
        <w:t xml:space="preserve">FERNANDES, A. M. R.; TOMASI, M.; PESSATTI, M. L. </w:t>
      </w:r>
      <w:r w:rsidRPr="003D14FC">
        <w:rPr>
          <w:b/>
          <w:bCs/>
          <w:sz w:val="24"/>
          <w:szCs w:val="24"/>
        </w:rPr>
        <w:t>Sistema para avaliação da qualidade de pescados</w:t>
      </w:r>
      <w:r w:rsidRPr="003D14FC">
        <w:rPr>
          <w:bCs/>
          <w:sz w:val="24"/>
          <w:szCs w:val="24"/>
        </w:rPr>
        <w:t>. Universidade Federal de Santa Catarina, Florianópolis, 2006.</w:t>
      </w:r>
    </w:p>
    <w:p w:rsidR="003D14FC" w:rsidRPr="003D14FC" w:rsidRDefault="003D14FC" w:rsidP="003D14FC">
      <w:pPr>
        <w:spacing w:before="120" w:after="240" w:line="240" w:lineRule="auto"/>
        <w:jc w:val="both"/>
        <w:rPr>
          <w:sz w:val="24"/>
          <w:szCs w:val="24"/>
          <w:lang w:val="en-US"/>
        </w:rPr>
      </w:pPr>
      <w:r w:rsidRPr="003D14FC">
        <w:rPr>
          <w:sz w:val="24"/>
          <w:szCs w:val="24"/>
          <w:lang w:val="en-US"/>
        </w:rPr>
        <w:t xml:space="preserve">FERNANDES, B. M. </w:t>
      </w:r>
      <w:proofErr w:type="spellStart"/>
      <w:r w:rsidRPr="003D14FC">
        <w:rPr>
          <w:sz w:val="24"/>
          <w:szCs w:val="24"/>
          <w:lang w:val="en-US"/>
        </w:rPr>
        <w:t>Entrando</w:t>
      </w:r>
      <w:proofErr w:type="spellEnd"/>
      <w:r w:rsidRPr="003D14FC">
        <w:rPr>
          <w:sz w:val="24"/>
          <w:szCs w:val="24"/>
          <w:lang w:val="en-US"/>
        </w:rPr>
        <w:t xml:space="preserve"> </w:t>
      </w:r>
      <w:proofErr w:type="spellStart"/>
      <w:r w:rsidRPr="003D14FC">
        <w:rPr>
          <w:sz w:val="24"/>
          <w:szCs w:val="24"/>
          <w:lang w:val="en-US"/>
        </w:rPr>
        <w:t>nos</w:t>
      </w:r>
      <w:proofErr w:type="spellEnd"/>
      <w:r w:rsidRPr="003D14FC">
        <w:rPr>
          <w:sz w:val="24"/>
          <w:szCs w:val="24"/>
          <w:lang w:val="en-US"/>
        </w:rPr>
        <w:t xml:space="preserve"> </w:t>
      </w:r>
      <w:proofErr w:type="spellStart"/>
      <w:r w:rsidRPr="003D14FC">
        <w:rPr>
          <w:sz w:val="24"/>
          <w:szCs w:val="24"/>
          <w:lang w:val="en-US"/>
        </w:rPr>
        <w:t>territórios</w:t>
      </w:r>
      <w:proofErr w:type="spellEnd"/>
      <w:r w:rsidRPr="003D14FC">
        <w:rPr>
          <w:sz w:val="24"/>
          <w:szCs w:val="24"/>
          <w:lang w:val="en-US"/>
        </w:rPr>
        <w:t xml:space="preserve"> do </w:t>
      </w:r>
      <w:proofErr w:type="spellStart"/>
      <w:r w:rsidRPr="003D14FC">
        <w:rPr>
          <w:sz w:val="24"/>
          <w:szCs w:val="24"/>
          <w:lang w:val="en-US"/>
        </w:rPr>
        <w:t>Território</w:t>
      </w:r>
      <w:proofErr w:type="spellEnd"/>
      <w:r w:rsidRPr="003D14FC">
        <w:rPr>
          <w:sz w:val="24"/>
          <w:szCs w:val="24"/>
          <w:lang w:val="en-US"/>
        </w:rPr>
        <w:t xml:space="preserve">. In: PAULINO, </w:t>
      </w:r>
      <w:proofErr w:type="spellStart"/>
      <w:r w:rsidRPr="003D14FC">
        <w:rPr>
          <w:sz w:val="24"/>
          <w:szCs w:val="24"/>
          <w:lang w:val="en-US"/>
        </w:rPr>
        <w:t>Eliane</w:t>
      </w:r>
      <w:proofErr w:type="spellEnd"/>
      <w:r w:rsidRPr="003D14FC">
        <w:rPr>
          <w:sz w:val="24"/>
          <w:szCs w:val="24"/>
          <w:lang w:val="en-US"/>
        </w:rPr>
        <w:t xml:space="preserve"> </w:t>
      </w:r>
      <w:proofErr w:type="spellStart"/>
      <w:r w:rsidRPr="003D14FC">
        <w:rPr>
          <w:sz w:val="24"/>
          <w:szCs w:val="24"/>
          <w:lang w:val="en-US"/>
        </w:rPr>
        <w:t>Tomiasi</w:t>
      </w:r>
      <w:proofErr w:type="spellEnd"/>
      <w:r w:rsidRPr="003D14FC">
        <w:rPr>
          <w:sz w:val="24"/>
          <w:szCs w:val="24"/>
          <w:lang w:val="en-US"/>
        </w:rPr>
        <w:t xml:space="preserve">; FABRINI, </w:t>
      </w:r>
      <w:proofErr w:type="spellStart"/>
      <w:r w:rsidRPr="003D14FC">
        <w:rPr>
          <w:sz w:val="24"/>
          <w:szCs w:val="24"/>
          <w:lang w:val="en-US"/>
        </w:rPr>
        <w:t>João</w:t>
      </w:r>
      <w:proofErr w:type="spellEnd"/>
      <w:r w:rsidRPr="003D14FC">
        <w:rPr>
          <w:sz w:val="24"/>
          <w:szCs w:val="24"/>
          <w:lang w:val="en-US"/>
        </w:rPr>
        <w:t xml:space="preserve"> </w:t>
      </w:r>
      <w:proofErr w:type="spellStart"/>
      <w:r w:rsidRPr="003D14FC">
        <w:rPr>
          <w:sz w:val="24"/>
          <w:szCs w:val="24"/>
          <w:lang w:val="en-US"/>
        </w:rPr>
        <w:t>Edmilson</w:t>
      </w:r>
      <w:proofErr w:type="spellEnd"/>
      <w:r w:rsidRPr="003D14FC">
        <w:rPr>
          <w:sz w:val="24"/>
          <w:szCs w:val="24"/>
          <w:lang w:val="en-US"/>
        </w:rPr>
        <w:t xml:space="preserve">. </w:t>
      </w:r>
      <w:proofErr w:type="spellStart"/>
      <w:proofErr w:type="gramStart"/>
      <w:r w:rsidRPr="003D14FC">
        <w:rPr>
          <w:sz w:val="24"/>
          <w:szCs w:val="24"/>
          <w:lang w:val="en-US"/>
        </w:rPr>
        <w:t>Campesinato</w:t>
      </w:r>
      <w:proofErr w:type="spellEnd"/>
      <w:r w:rsidRPr="003D14FC">
        <w:rPr>
          <w:sz w:val="24"/>
          <w:szCs w:val="24"/>
          <w:lang w:val="en-US"/>
        </w:rPr>
        <w:t xml:space="preserve"> e </w:t>
      </w:r>
      <w:proofErr w:type="spellStart"/>
      <w:r w:rsidRPr="003D14FC">
        <w:rPr>
          <w:sz w:val="24"/>
          <w:szCs w:val="24"/>
          <w:lang w:val="en-US"/>
        </w:rPr>
        <w:t>territórios</w:t>
      </w:r>
      <w:proofErr w:type="spellEnd"/>
      <w:r w:rsidRPr="003D14FC">
        <w:rPr>
          <w:sz w:val="24"/>
          <w:szCs w:val="24"/>
          <w:lang w:val="en-US"/>
        </w:rPr>
        <w:t xml:space="preserve"> </w:t>
      </w:r>
      <w:proofErr w:type="spellStart"/>
      <w:r w:rsidRPr="003D14FC">
        <w:rPr>
          <w:sz w:val="24"/>
          <w:szCs w:val="24"/>
          <w:lang w:val="en-US"/>
        </w:rPr>
        <w:t>em</w:t>
      </w:r>
      <w:proofErr w:type="spellEnd"/>
      <w:r w:rsidRPr="003D14FC">
        <w:rPr>
          <w:sz w:val="24"/>
          <w:szCs w:val="24"/>
          <w:lang w:val="en-US"/>
        </w:rPr>
        <w:t xml:space="preserve"> </w:t>
      </w:r>
      <w:proofErr w:type="spellStart"/>
      <w:r w:rsidRPr="003D14FC">
        <w:rPr>
          <w:sz w:val="24"/>
          <w:szCs w:val="24"/>
          <w:lang w:val="en-US"/>
        </w:rPr>
        <w:t>disputa</w:t>
      </w:r>
      <w:proofErr w:type="spellEnd"/>
      <w:r w:rsidRPr="003D14FC">
        <w:rPr>
          <w:sz w:val="24"/>
          <w:szCs w:val="24"/>
          <w:lang w:val="en-US"/>
        </w:rPr>
        <w:t>.</w:t>
      </w:r>
      <w:proofErr w:type="gramEnd"/>
      <w:r w:rsidRPr="003D14FC">
        <w:rPr>
          <w:sz w:val="24"/>
          <w:szCs w:val="24"/>
          <w:lang w:val="en-US"/>
        </w:rPr>
        <w:t xml:space="preserve"> São Paulo: </w:t>
      </w:r>
      <w:proofErr w:type="spellStart"/>
      <w:r w:rsidRPr="003D14FC">
        <w:rPr>
          <w:sz w:val="24"/>
          <w:szCs w:val="24"/>
          <w:lang w:val="en-US"/>
        </w:rPr>
        <w:t>Expressão</w:t>
      </w:r>
      <w:proofErr w:type="spellEnd"/>
      <w:r w:rsidRPr="003D14FC">
        <w:rPr>
          <w:sz w:val="24"/>
          <w:szCs w:val="24"/>
          <w:lang w:val="en-US"/>
        </w:rPr>
        <w:t xml:space="preserve"> Popular, 2008b. pp. 273-302.</w:t>
      </w:r>
    </w:p>
    <w:p w:rsidR="003D14FC" w:rsidRPr="003D14FC" w:rsidRDefault="003D14FC" w:rsidP="003D14FC">
      <w:pPr>
        <w:spacing w:before="120" w:after="240" w:line="240" w:lineRule="auto"/>
        <w:jc w:val="both"/>
        <w:rPr>
          <w:sz w:val="24"/>
          <w:szCs w:val="24"/>
          <w:lang w:val="en-US"/>
        </w:rPr>
      </w:pPr>
      <w:r w:rsidRPr="003D14FC">
        <w:rPr>
          <w:sz w:val="24"/>
          <w:szCs w:val="24"/>
        </w:rPr>
        <w:t xml:space="preserve">FISCARELLI, A. G.; PINHEIRO, M. A. A. Perfil </w:t>
      </w:r>
      <w:proofErr w:type="spellStart"/>
      <w:r w:rsidRPr="003D14FC">
        <w:rPr>
          <w:sz w:val="24"/>
          <w:szCs w:val="24"/>
        </w:rPr>
        <w:t>sócio-econômico</w:t>
      </w:r>
      <w:proofErr w:type="spellEnd"/>
      <w:r w:rsidRPr="003D14FC">
        <w:rPr>
          <w:sz w:val="24"/>
          <w:szCs w:val="24"/>
        </w:rPr>
        <w:t xml:space="preserve"> e conhecimento </w:t>
      </w:r>
      <w:proofErr w:type="spellStart"/>
      <w:r w:rsidRPr="003D14FC">
        <w:rPr>
          <w:sz w:val="24"/>
          <w:szCs w:val="24"/>
        </w:rPr>
        <w:t>etnobiológico</w:t>
      </w:r>
      <w:proofErr w:type="spellEnd"/>
      <w:r w:rsidRPr="003D14FC">
        <w:rPr>
          <w:sz w:val="24"/>
          <w:szCs w:val="24"/>
        </w:rPr>
        <w:t xml:space="preserve"> do catador de caranguejo </w:t>
      </w:r>
      <w:proofErr w:type="spellStart"/>
      <w:r w:rsidRPr="003D14FC">
        <w:rPr>
          <w:sz w:val="24"/>
          <w:szCs w:val="24"/>
        </w:rPr>
        <w:t>uça</w:t>
      </w:r>
      <w:proofErr w:type="spellEnd"/>
      <w:r w:rsidRPr="003D14FC">
        <w:rPr>
          <w:sz w:val="24"/>
          <w:szCs w:val="24"/>
        </w:rPr>
        <w:t xml:space="preserve">, </w:t>
      </w:r>
      <w:proofErr w:type="spellStart"/>
      <w:r w:rsidRPr="003D14FC">
        <w:rPr>
          <w:i/>
          <w:iCs/>
          <w:sz w:val="24"/>
          <w:szCs w:val="24"/>
        </w:rPr>
        <w:t>Ucides</w:t>
      </w:r>
      <w:proofErr w:type="spellEnd"/>
      <w:r w:rsidRPr="003D14FC">
        <w:rPr>
          <w:i/>
          <w:iCs/>
          <w:sz w:val="24"/>
          <w:szCs w:val="24"/>
        </w:rPr>
        <w:t xml:space="preserve"> </w:t>
      </w:r>
      <w:proofErr w:type="spellStart"/>
      <w:r w:rsidRPr="003D14FC">
        <w:rPr>
          <w:i/>
          <w:iCs/>
          <w:sz w:val="24"/>
          <w:szCs w:val="24"/>
        </w:rPr>
        <w:t>cordatus</w:t>
      </w:r>
      <w:proofErr w:type="spellEnd"/>
      <w:r w:rsidRPr="003D14FC">
        <w:rPr>
          <w:i/>
          <w:iCs/>
          <w:sz w:val="24"/>
          <w:szCs w:val="24"/>
        </w:rPr>
        <w:t xml:space="preserve"> </w:t>
      </w:r>
      <w:r w:rsidRPr="003D14FC">
        <w:rPr>
          <w:sz w:val="24"/>
          <w:szCs w:val="24"/>
        </w:rPr>
        <w:t xml:space="preserve">(LINNAEUS, 1763), nos manguezais de Iguape (24° 41’ S), SP, Brasil. </w:t>
      </w:r>
      <w:r w:rsidRPr="003D14FC">
        <w:rPr>
          <w:b/>
          <w:bCs/>
          <w:sz w:val="24"/>
          <w:szCs w:val="24"/>
          <w:lang w:val="en-US"/>
        </w:rPr>
        <w:t>Actual Biology</w:t>
      </w:r>
      <w:r w:rsidRPr="003D14FC">
        <w:rPr>
          <w:sz w:val="24"/>
          <w:szCs w:val="24"/>
          <w:lang w:val="en-US"/>
        </w:rPr>
        <w:t>, v. 24, n. 77, p. 39-52, 2002.</w:t>
      </w:r>
    </w:p>
    <w:p w:rsidR="003D14FC" w:rsidRPr="003D14FC" w:rsidRDefault="003D14FC" w:rsidP="003D14FC">
      <w:pPr>
        <w:spacing w:before="120" w:after="240" w:line="240" w:lineRule="auto"/>
        <w:jc w:val="both"/>
        <w:rPr>
          <w:sz w:val="24"/>
          <w:szCs w:val="24"/>
          <w:lang w:val="en-US"/>
        </w:rPr>
      </w:pPr>
      <w:proofErr w:type="gramStart"/>
      <w:r w:rsidRPr="003D14FC">
        <w:rPr>
          <w:sz w:val="24"/>
          <w:szCs w:val="24"/>
          <w:lang w:val="en-US"/>
        </w:rPr>
        <w:t>FUNAI.</w:t>
      </w:r>
      <w:proofErr w:type="gramEnd"/>
      <w:r w:rsidRPr="003D14FC">
        <w:rPr>
          <w:sz w:val="24"/>
          <w:szCs w:val="24"/>
          <w:lang w:val="en-US"/>
        </w:rPr>
        <w:t xml:space="preserve"> </w:t>
      </w:r>
      <w:proofErr w:type="spellStart"/>
      <w:r w:rsidRPr="003D14FC">
        <w:rPr>
          <w:sz w:val="24"/>
          <w:szCs w:val="24"/>
          <w:lang w:val="en-US"/>
        </w:rPr>
        <w:t>Disponível</w:t>
      </w:r>
      <w:proofErr w:type="spellEnd"/>
      <w:r w:rsidRPr="003D14FC">
        <w:rPr>
          <w:sz w:val="24"/>
          <w:szCs w:val="24"/>
          <w:lang w:val="en-US"/>
        </w:rPr>
        <w:t xml:space="preserve"> </w:t>
      </w:r>
      <w:proofErr w:type="gramStart"/>
      <w:r w:rsidRPr="003D14FC">
        <w:rPr>
          <w:sz w:val="24"/>
          <w:szCs w:val="24"/>
          <w:lang w:val="en-US"/>
        </w:rPr>
        <w:t>em:</w:t>
      </w:r>
      <w:proofErr w:type="gramEnd"/>
      <w:r w:rsidRPr="003D14FC">
        <w:rPr>
          <w:sz w:val="24"/>
          <w:szCs w:val="24"/>
          <w:lang w:val="en-US"/>
        </w:rPr>
        <w:t xml:space="preserve">&lt;http://www.funai.gov.br/index.php/indios-no-brasil/sons-indigenas/684-ww&gt;. </w:t>
      </w:r>
      <w:proofErr w:type="spellStart"/>
      <w:r w:rsidRPr="003D14FC">
        <w:rPr>
          <w:sz w:val="24"/>
          <w:szCs w:val="24"/>
          <w:lang w:val="en-US"/>
        </w:rPr>
        <w:t>Acesso</w:t>
      </w:r>
      <w:proofErr w:type="spellEnd"/>
      <w:r w:rsidRPr="003D14FC">
        <w:rPr>
          <w:sz w:val="24"/>
          <w:szCs w:val="24"/>
          <w:lang w:val="en-US"/>
        </w:rPr>
        <w:t xml:space="preserve"> </w:t>
      </w:r>
      <w:proofErr w:type="spellStart"/>
      <w:r w:rsidRPr="003D14FC">
        <w:rPr>
          <w:sz w:val="24"/>
          <w:szCs w:val="24"/>
          <w:lang w:val="en-US"/>
        </w:rPr>
        <w:t>em</w:t>
      </w:r>
      <w:proofErr w:type="spellEnd"/>
      <w:r w:rsidRPr="003D14FC">
        <w:rPr>
          <w:sz w:val="24"/>
          <w:szCs w:val="24"/>
          <w:lang w:val="en-US"/>
        </w:rPr>
        <w:t>: 12 de out. 2016.</w:t>
      </w:r>
    </w:p>
    <w:p w:rsidR="00E47A53" w:rsidRPr="003D14FC" w:rsidRDefault="00E47A53" w:rsidP="003D14FC">
      <w:pPr>
        <w:spacing w:before="120" w:after="240" w:line="240" w:lineRule="auto"/>
        <w:jc w:val="both"/>
        <w:rPr>
          <w:rFonts w:eastAsia="Calibri"/>
          <w:sz w:val="24"/>
          <w:szCs w:val="24"/>
        </w:rPr>
      </w:pPr>
      <w:r w:rsidRPr="003D14FC">
        <w:rPr>
          <w:rFonts w:eastAsia="Calibri"/>
          <w:sz w:val="24"/>
          <w:szCs w:val="24"/>
        </w:rPr>
        <w:t xml:space="preserve">GIA – GRUPO INTEGRADO DE AQUICULTURA E ESTUDOS AMBIENTAIS. </w:t>
      </w:r>
      <w:r w:rsidRPr="003D14FC">
        <w:rPr>
          <w:rFonts w:eastAsia="Calibri"/>
          <w:b/>
          <w:sz w:val="24"/>
          <w:szCs w:val="24"/>
        </w:rPr>
        <w:t>Planos Locais de Desenvolvimento da Maricultura</w:t>
      </w:r>
      <w:r w:rsidRPr="003D14FC">
        <w:rPr>
          <w:rFonts w:eastAsia="Calibri"/>
          <w:sz w:val="24"/>
          <w:szCs w:val="24"/>
        </w:rPr>
        <w:t>: Paraná. Volume I: Apresentação, Caracterização Regional e Legislação. Instituto Curitiba, 2010.</w:t>
      </w:r>
    </w:p>
    <w:p w:rsidR="003D14FC" w:rsidRPr="003D14FC" w:rsidRDefault="003D14FC" w:rsidP="003D14FC">
      <w:pPr>
        <w:spacing w:before="120" w:after="240" w:line="240" w:lineRule="auto"/>
        <w:jc w:val="both"/>
        <w:rPr>
          <w:sz w:val="24"/>
          <w:szCs w:val="24"/>
          <w:lang w:val="en-US"/>
        </w:rPr>
      </w:pPr>
      <w:r w:rsidRPr="003D14FC">
        <w:rPr>
          <w:sz w:val="24"/>
          <w:szCs w:val="24"/>
          <w:lang w:val="en-US"/>
        </w:rPr>
        <w:t xml:space="preserve">HAESBAERT, R. </w:t>
      </w:r>
      <w:r w:rsidRPr="003D14FC">
        <w:rPr>
          <w:b/>
          <w:sz w:val="24"/>
          <w:szCs w:val="24"/>
          <w:lang w:val="en-US"/>
        </w:rPr>
        <w:t xml:space="preserve">O </w:t>
      </w:r>
      <w:proofErr w:type="spellStart"/>
      <w:proofErr w:type="gramStart"/>
      <w:r w:rsidRPr="003D14FC">
        <w:rPr>
          <w:b/>
          <w:sz w:val="24"/>
          <w:szCs w:val="24"/>
          <w:lang w:val="en-US"/>
        </w:rPr>
        <w:t>mito</w:t>
      </w:r>
      <w:proofErr w:type="spellEnd"/>
      <w:proofErr w:type="gramEnd"/>
      <w:r w:rsidRPr="003D14FC">
        <w:rPr>
          <w:b/>
          <w:sz w:val="24"/>
          <w:szCs w:val="24"/>
          <w:lang w:val="en-US"/>
        </w:rPr>
        <w:t xml:space="preserve"> da </w:t>
      </w:r>
      <w:proofErr w:type="spellStart"/>
      <w:r w:rsidRPr="003D14FC">
        <w:rPr>
          <w:b/>
          <w:sz w:val="24"/>
          <w:szCs w:val="24"/>
          <w:lang w:val="en-US"/>
        </w:rPr>
        <w:t>desterritorialização</w:t>
      </w:r>
      <w:proofErr w:type="spellEnd"/>
      <w:r w:rsidRPr="003D14FC">
        <w:rPr>
          <w:b/>
          <w:sz w:val="24"/>
          <w:szCs w:val="24"/>
          <w:lang w:val="en-US"/>
        </w:rPr>
        <w:t>: do “</w:t>
      </w:r>
      <w:proofErr w:type="spellStart"/>
      <w:r w:rsidRPr="003D14FC">
        <w:rPr>
          <w:b/>
          <w:sz w:val="24"/>
          <w:szCs w:val="24"/>
          <w:lang w:val="en-US"/>
        </w:rPr>
        <w:t>fim</w:t>
      </w:r>
      <w:proofErr w:type="spellEnd"/>
      <w:r w:rsidRPr="003D14FC">
        <w:rPr>
          <w:b/>
          <w:sz w:val="24"/>
          <w:szCs w:val="24"/>
          <w:lang w:val="en-US"/>
        </w:rPr>
        <w:t xml:space="preserve"> dos tempos” à </w:t>
      </w:r>
      <w:proofErr w:type="spellStart"/>
      <w:r w:rsidRPr="003D14FC">
        <w:rPr>
          <w:b/>
          <w:sz w:val="24"/>
          <w:szCs w:val="24"/>
          <w:lang w:val="en-US"/>
        </w:rPr>
        <w:t>multiterritorialidade</w:t>
      </w:r>
      <w:proofErr w:type="spellEnd"/>
      <w:r w:rsidRPr="003D14FC">
        <w:rPr>
          <w:sz w:val="24"/>
          <w:szCs w:val="24"/>
          <w:lang w:val="en-US"/>
        </w:rPr>
        <w:t xml:space="preserve">. Rio de Janeiro: Bertrand </w:t>
      </w:r>
      <w:proofErr w:type="spellStart"/>
      <w:r w:rsidRPr="003D14FC">
        <w:rPr>
          <w:sz w:val="24"/>
          <w:szCs w:val="24"/>
          <w:lang w:val="en-US"/>
        </w:rPr>
        <w:t>Brasil</w:t>
      </w:r>
      <w:proofErr w:type="spellEnd"/>
      <w:r w:rsidRPr="003D14FC">
        <w:rPr>
          <w:sz w:val="24"/>
          <w:szCs w:val="24"/>
          <w:lang w:val="en-US"/>
        </w:rPr>
        <w:t>, 2004.</w:t>
      </w:r>
    </w:p>
    <w:p w:rsidR="00F456A5" w:rsidRPr="003D14FC" w:rsidRDefault="00F456A5" w:rsidP="003D14FC">
      <w:pPr>
        <w:pStyle w:val="SemEspaamento"/>
        <w:spacing w:before="120" w:after="240"/>
        <w:rPr>
          <w:rFonts w:ascii="Arial" w:hAnsi="Arial" w:cs="Arial"/>
          <w:szCs w:val="24"/>
        </w:rPr>
      </w:pPr>
      <w:r w:rsidRPr="003D14FC">
        <w:rPr>
          <w:rFonts w:ascii="Arial" w:hAnsi="Arial" w:cs="Arial"/>
          <w:szCs w:val="24"/>
        </w:rPr>
        <w:t>IAP -</w:t>
      </w:r>
      <w:proofErr w:type="gramStart"/>
      <w:r w:rsidRPr="003D14FC">
        <w:rPr>
          <w:rFonts w:ascii="Arial" w:hAnsi="Arial" w:cs="Arial"/>
          <w:szCs w:val="24"/>
        </w:rPr>
        <w:t xml:space="preserve">  </w:t>
      </w:r>
      <w:proofErr w:type="gramEnd"/>
      <w:r w:rsidRPr="003D14FC">
        <w:rPr>
          <w:rFonts w:ascii="Arial" w:hAnsi="Arial" w:cs="Arial"/>
          <w:szCs w:val="24"/>
        </w:rPr>
        <w:t xml:space="preserve">INSTITUTO AMBIENTAL DO PARANÁ. </w:t>
      </w:r>
      <w:r w:rsidRPr="003D14FC">
        <w:rPr>
          <w:rFonts w:ascii="Arial" w:hAnsi="Arial" w:cs="Arial"/>
          <w:b/>
          <w:szCs w:val="24"/>
        </w:rPr>
        <w:t>Portaria n° 180</w:t>
      </w:r>
      <w:r w:rsidRPr="003D14FC">
        <w:rPr>
          <w:rFonts w:ascii="Arial" w:hAnsi="Arial" w:cs="Arial"/>
          <w:szCs w:val="24"/>
        </w:rPr>
        <w:t xml:space="preserve">, de </w:t>
      </w:r>
      <w:proofErr w:type="gramStart"/>
      <w:r w:rsidRPr="003D14FC">
        <w:rPr>
          <w:rFonts w:ascii="Arial" w:hAnsi="Arial" w:cs="Arial"/>
          <w:szCs w:val="24"/>
        </w:rPr>
        <w:t>7</w:t>
      </w:r>
      <w:proofErr w:type="gramEnd"/>
      <w:r w:rsidRPr="003D14FC">
        <w:rPr>
          <w:rFonts w:ascii="Arial" w:hAnsi="Arial" w:cs="Arial"/>
          <w:szCs w:val="24"/>
        </w:rPr>
        <w:t xml:space="preserve"> de outubro de 2002.</w:t>
      </w:r>
    </w:p>
    <w:p w:rsidR="00D352F0" w:rsidRDefault="00D352F0" w:rsidP="003D14FC">
      <w:pPr>
        <w:spacing w:before="120" w:after="240" w:line="240" w:lineRule="auto"/>
        <w:jc w:val="both"/>
        <w:rPr>
          <w:sz w:val="24"/>
          <w:szCs w:val="24"/>
        </w:rPr>
      </w:pPr>
      <w:r w:rsidRPr="003D14FC">
        <w:rPr>
          <w:sz w:val="24"/>
          <w:szCs w:val="24"/>
          <w:highlight w:val="white"/>
        </w:rPr>
        <w:t xml:space="preserve">IBAMA - INSTITUTO BRASILEIRO DO MEIO AMBIENTE E DOS RECURSOS NATURAIS. Disponível </w:t>
      </w:r>
      <w:proofErr w:type="gramStart"/>
      <w:r w:rsidRPr="003D14FC">
        <w:rPr>
          <w:sz w:val="24"/>
          <w:szCs w:val="24"/>
          <w:highlight w:val="white"/>
        </w:rPr>
        <w:t>em:</w:t>
      </w:r>
      <w:proofErr w:type="gramEnd"/>
      <w:r w:rsidRPr="003D14FC">
        <w:rPr>
          <w:sz w:val="24"/>
          <w:szCs w:val="24"/>
          <w:highlight w:val="white"/>
        </w:rPr>
        <w:fldChar w:fldCharType="begin"/>
      </w:r>
      <w:r w:rsidRPr="003D14FC">
        <w:rPr>
          <w:sz w:val="24"/>
          <w:szCs w:val="24"/>
          <w:highlight w:val="white"/>
        </w:rPr>
        <w:instrText xml:space="preserve"> HYPERLINK "http://www.ibama.gov.br/licenciamento" \h </w:instrText>
      </w:r>
      <w:r w:rsidRPr="003D14FC">
        <w:rPr>
          <w:sz w:val="24"/>
          <w:szCs w:val="24"/>
          <w:highlight w:val="white"/>
        </w:rPr>
        <w:fldChar w:fldCharType="separate"/>
      </w:r>
      <w:r w:rsidRPr="003D14FC">
        <w:rPr>
          <w:sz w:val="24"/>
          <w:szCs w:val="24"/>
          <w:highlight w:val="white"/>
        </w:rPr>
        <w:t xml:space="preserve"> </w:t>
      </w:r>
      <w:r w:rsidRPr="003D14FC">
        <w:rPr>
          <w:sz w:val="24"/>
          <w:szCs w:val="24"/>
          <w:highlight w:val="white"/>
        </w:rPr>
        <w:fldChar w:fldCharType="end"/>
      </w:r>
      <w:r w:rsidR="00A6203E" w:rsidRPr="00A6203E">
        <w:rPr>
          <w:sz w:val="24"/>
          <w:szCs w:val="24"/>
          <w:highlight w:val="white"/>
        </w:rPr>
        <w:t>http://www.ibama.gov.br/licenciamento. Acesso em 27/09/2016</w:t>
      </w:r>
    </w:p>
    <w:p w:rsidR="00A6203E" w:rsidRPr="003D14FC" w:rsidRDefault="00A6203E" w:rsidP="00A6203E">
      <w:pPr>
        <w:spacing w:before="120" w:after="240" w:line="240" w:lineRule="auto"/>
        <w:jc w:val="both"/>
        <w:rPr>
          <w:sz w:val="24"/>
          <w:szCs w:val="24"/>
        </w:rPr>
      </w:pPr>
      <w:r w:rsidRPr="00A6203E">
        <w:rPr>
          <w:sz w:val="24"/>
          <w:szCs w:val="24"/>
        </w:rPr>
        <w:t>IPARDES – Instituto Paranaense de Desenvolvimento (1998) Caderno Estatístico</w:t>
      </w:r>
      <w:r>
        <w:rPr>
          <w:sz w:val="24"/>
          <w:szCs w:val="24"/>
        </w:rPr>
        <w:t xml:space="preserve"> </w:t>
      </w:r>
      <w:r w:rsidRPr="00A6203E">
        <w:rPr>
          <w:sz w:val="24"/>
          <w:szCs w:val="24"/>
        </w:rPr>
        <w:t>do Município de Guaraqueçaba. Curitiba: IPARDES.</w:t>
      </w:r>
    </w:p>
    <w:p w:rsidR="00D352F0" w:rsidRPr="003D14FC" w:rsidRDefault="00D352F0" w:rsidP="003D14FC">
      <w:pPr>
        <w:spacing w:before="120" w:after="240" w:line="240" w:lineRule="auto"/>
        <w:jc w:val="both"/>
        <w:rPr>
          <w:sz w:val="24"/>
          <w:szCs w:val="24"/>
        </w:rPr>
      </w:pPr>
      <w:r w:rsidRPr="003D14FC">
        <w:rPr>
          <w:bCs/>
          <w:sz w:val="24"/>
          <w:szCs w:val="24"/>
          <w:lang w:val="en-US"/>
        </w:rPr>
        <w:lastRenderedPageBreak/>
        <w:t xml:space="preserve">IUCN - INTERNATIONAL UNION FOR CONSERVATION OF NATURE: </w:t>
      </w:r>
      <w:r w:rsidRPr="003D14FC">
        <w:rPr>
          <w:sz w:val="24"/>
          <w:szCs w:val="24"/>
          <w:lang w:val="en-US"/>
        </w:rPr>
        <w:t xml:space="preserve">Red List Categories and Criteria: Version 3.1. </w:t>
      </w:r>
      <w:r w:rsidRPr="003D14FC">
        <w:rPr>
          <w:b/>
          <w:sz w:val="24"/>
          <w:szCs w:val="24"/>
        </w:rPr>
        <w:t>IUCN</w:t>
      </w:r>
      <w:r w:rsidRPr="003D14FC">
        <w:rPr>
          <w:sz w:val="24"/>
          <w:szCs w:val="24"/>
        </w:rPr>
        <w:t>. 2001.</w:t>
      </w:r>
    </w:p>
    <w:p w:rsidR="00D352F0" w:rsidRPr="003D14FC" w:rsidRDefault="00D352F0" w:rsidP="003D14FC">
      <w:pPr>
        <w:spacing w:before="120" w:after="240" w:line="240" w:lineRule="auto"/>
        <w:jc w:val="both"/>
        <w:rPr>
          <w:sz w:val="24"/>
          <w:szCs w:val="24"/>
        </w:rPr>
      </w:pPr>
      <w:r w:rsidRPr="003D14FC">
        <w:rPr>
          <w:sz w:val="24"/>
          <w:szCs w:val="24"/>
        </w:rPr>
        <w:t xml:space="preserve">LITTLE, P. E. Os conflitos socioambientais: um campo de estudo e de ação política. In BURZSTYN, Marcel. (Org.). </w:t>
      </w:r>
      <w:r w:rsidRPr="003D14FC">
        <w:rPr>
          <w:b/>
          <w:sz w:val="24"/>
          <w:szCs w:val="24"/>
        </w:rPr>
        <w:t>A difícil sustentabilidade</w:t>
      </w:r>
      <w:r w:rsidRPr="003D14FC">
        <w:rPr>
          <w:sz w:val="24"/>
          <w:szCs w:val="24"/>
        </w:rPr>
        <w:t xml:space="preserve">: política energética e conflitos ambientais. 1ª Ed. Rio de Janeiro: </w:t>
      </w:r>
      <w:proofErr w:type="spellStart"/>
      <w:r w:rsidRPr="003D14FC">
        <w:rPr>
          <w:sz w:val="24"/>
          <w:szCs w:val="24"/>
        </w:rPr>
        <w:t>Garamond</w:t>
      </w:r>
      <w:proofErr w:type="spellEnd"/>
      <w:r w:rsidRPr="003D14FC">
        <w:rPr>
          <w:sz w:val="24"/>
          <w:szCs w:val="24"/>
        </w:rPr>
        <w:t>, 2001.</w:t>
      </w:r>
    </w:p>
    <w:p w:rsidR="00D352F0" w:rsidRPr="003D14FC" w:rsidRDefault="00D352F0" w:rsidP="003D14FC">
      <w:pPr>
        <w:spacing w:before="120" w:after="240" w:line="240" w:lineRule="auto"/>
        <w:jc w:val="both"/>
        <w:rPr>
          <w:sz w:val="24"/>
          <w:szCs w:val="24"/>
        </w:rPr>
      </w:pPr>
      <w:r w:rsidRPr="003D14FC">
        <w:rPr>
          <w:sz w:val="24"/>
          <w:szCs w:val="24"/>
          <w:highlight w:val="white"/>
        </w:rPr>
        <w:t xml:space="preserve">LOPES, F.D. </w:t>
      </w:r>
      <w:proofErr w:type="gramStart"/>
      <w:r w:rsidRPr="003D14FC">
        <w:rPr>
          <w:i/>
          <w:sz w:val="24"/>
          <w:szCs w:val="24"/>
          <w:highlight w:val="white"/>
        </w:rPr>
        <w:t>et</w:t>
      </w:r>
      <w:proofErr w:type="gramEnd"/>
      <w:r w:rsidRPr="003D14FC">
        <w:rPr>
          <w:i/>
          <w:sz w:val="24"/>
          <w:szCs w:val="24"/>
          <w:highlight w:val="white"/>
        </w:rPr>
        <w:t xml:space="preserve"> al. </w:t>
      </w:r>
      <w:r w:rsidRPr="003D14FC">
        <w:rPr>
          <w:sz w:val="24"/>
          <w:szCs w:val="24"/>
          <w:highlight w:val="white"/>
        </w:rPr>
        <w:t>A</w:t>
      </w:r>
      <w:r w:rsidRPr="003D14FC">
        <w:rPr>
          <w:b/>
          <w:sz w:val="24"/>
          <w:szCs w:val="24"/>
          <w:highlight w:val="white"/>
        </w:rPr>
        <w:t>mpliação e modernização da estrutura portuária da APPA</w:t>
      </w:r>
      <w:r w:rsidRPr="003D14FC">
        <w:rPr>
          <w:sz w:val="24"/>
          <w:szCs w:val="24"/>
          <w:highlight w:val="white"/>
        </w:rPr>
        <w:t xml:space="preserve">. Pinhais: ENGEMIN Engenharia e Geologia </w:t>
      </w:r>
      <w:proofErr w:type="spellStart"/>
      <w:r w:rsidRPr="003D14FC">
        <w:rPr>
          <w:sz w:val="24"/>
          <w:szCs w:val="24"/>
          <w:highlight w:val="white"/>
        </w:rPr>
        <w:t>Ltda</w:t>
      </w:r>
      <w:proofErr w:type="spellEnd"/>
      <w:r w:rsidRPr="003D14FC">
        <w:rPr>
          <w:sz w:val="24"/>
          <w:szCs w:val="24"/>
          <w:highlight w:val="white"/>
        </w:rPr>
        <w:t>, 2004. Estudo de Impacto Ambiental e Relatório de Impacto Ambiental – EIA/RIMA.</w:t>
      </w:r>
    </w:p>
    <w:p w:rsidR="00F456A5" w:rsidRPr="003D14FC" w:rsidRDefault="00F456A5" w:rsidP="003D14FC">
      <w:pPr>
        <w:pStyle w:val="SemEspaamento"/>
        <w:spacing w:before="120" w:after="240"/>
        <w:rPr>
          <w:rFonts w:ascii="Arial" w:hAnsi="Arial" w:cs="Arial"/>
          <w:szCs w:val="24"/>
        </w:rPr>
      </w:pPr>
      <w:r w:rsidRPr="003D14FC">
        <w:rPr>
          <w:rFonts w:ascii="Arial" w:hAnsi="Arial" w:cs="Arial"/>
          <w:szCs w:val="24"/>
        </w:rPr>
        <w:t xml:space="preserve">LOURENÇO, </w:t>
      </w:r>
      <w:proofErr w:type="gramStart"/>
      <w:r w:rsidRPr="003D14FC">
        <w:rPr>
          <w:rFonts w:ascii="Arial" w:hAnsi="Arial" w:cs="Arial"/>
          <w:szCs w:val="24"/>
        </w:rPr>
        <w:t>et</w:t>
      </w:r>
      <w:proofErr w:type="gramEnd"/>
      <w:r w:rsidRPr="003D14FC">
        <w:rPr>
          <w:rFonts w:ascii="Arial" w:hAnsi="Arial" w:cs="Arial"/>
          <w:szCs w:val="24"/>
        </w:rPr>
        <w:t xml:space="preserve"> al. Uma Reflexão Sobre os Conflitos Socioambientais em Áreas de Proteção Ambiental: O Caso de Guaraqueçaba-PR. </w:t>
      </w:r>
      <w:r w:rsidRPr="003D14FC">
        <w:rPr>
          <w:rFonts w:ascii="Arial" w:hAnsi="Arial" w:cs="Arial"/>
          <w:b/>
          <w:szCs w:val="24"/>
        </w:rPr>
        <w:t>Anais.</w:t>
      </w:r>
      <w:r w:rsidRPr="003D14FC">
        <w:rPr>
          <w:rFonts w:ascii="Arial" w:hAnsi="Arial" w:cs="Arial"/>
          <w:szCs w:val="24"/>
        </w:rPr>
        <w:t xml:space="preserve"> XXI Encontro Nacional de Geografia Agrária, Uberlândia-MG, 2012.</w:t>
      </w:r>
    </w:p>
    <w:p w:rsidR="00D352F0" w:rsidRPr="003D14FC" w:rsidRDefault="00D352F0" w:rsidP="003D14FC">
      <w:pPr>
        <w:spacing w:before="120" w:after="240" w:line="240" w:lineRule="auto"/>
        <w:jc w:val="both"/>
        <w:rPr>
          <w:bCs/>
          <w:sz w:val="24"/>
          <w:szCs w:val="24"/>
          <w:bdr w:val="none" w:sz="0" w:space="0" w:color="auto" w:frame="1"/>
        </w:rPr>
      </w:pPr>
      <w:r w:rsidRPr="003D14FC">
        <w:rPr>
          <w:bCs/>
          <w:sz w:val="24"/>
          <w:szCs w:val="24"/>
          <w:bdr w:val="none" w:sz="0" w:space="0" w:color="auto" w:frame="1"/>
        </w:rPr>
        <w:t>MAFRA, T. V</w:t>
      </w:r>
      <w:r w:rsidRPr="003D14FC">
        <w:rPr>
          <w:b/>
          <w:bCs/>
          <w:sz w:val="24"/>
          <w:szCs w:val="24"/>
          <w:bdr w:val="none" w:sz="0" w:space="0" w:color="auto" w:frame="1"/>
        </w:rPr>
        <w:t>. Estratégias técnicas e econômicas dos sistemas de produção pesqueiros da região de Guaraqueçaba, litoral do Paraná</w:t>
      </w:r>
      <w:r w:rsidRPr="003D14FC">
        <w:rPr>
          <w:bCs/>
          <w:sz w:val="24"/>
          <w:szCs w:val="24"/>
          <w:bdr w:val="none" w:sz="0" w:space="0" w:color="auto" w:frame="1"/>
        </w:rPr>
        <w:t>. Dissertação (Mestrado em Meio Ambiente e Desenvolvimento), Universidade Federal do Paraná, Curitiba, 2012.</w:t>
      </w:r>
    </w:p>
    <w:p w:rsidR="00D352F0" w:rsidRPr="003D14FC" w:rsidRDefault="00D352F0" w:rsidP="003D14FC">
      <w:pPr>
        <w:spacing w:before="120" w:after="240" w:line="240" w:lineRule="auto"/>
        <w:jc w:val="both"/>
        <w:rPr>
          <w:rFonts w:eastAsia="Calibri"/>
          <w:color w:val="141313"/>
          <w:sz w:val="24"/>
          <w:szCs w:val="24"/>
        </w:rPr>
      </w:pPr>
      <w:r w:rsidRPr="003D14FC">
        <w:rPr>
          <w:rFonts w:eastAsia="Calibri"/>
          <w:color w:val="141313"/>
          <w:sz w:val="24"/>
          <w:szCs w:val="24"/>
        </w:rPr>
        <w:t xml:space="preserve">MALHEIROS, H. Z. </w:t>
      </w:r>
      <w:r w:rsidRPr="003D14FC">
        <w:rPr>
          <w:rFonts w:eastAsia="Calibri"/>
          <w:b/>
          <w:color w:val="141313"/>
          <w:sz w:val="24"/>
          <w:szCs w:val="24"/>
        </w:rPr>
        <w:t>Avaliação da pesca de arrasto do Camarão Sete-Barbas (</w:t>
      </w:r>
      <w:proofErr w:type="spellStart"/>
      <w:r w:rsidRPr="003D14FC">
        <w:rPr>
          <w:rFonts w:eastAsia="Calibri"/>
          <w:b/>
          <w:i/>
          <w:color w:val="141313"/>
          <w:sz w:val="24"/>
          <w:szCs w:val="24"/>
        </w:rPr>
        <w:t>Xiphopenaeus</w:t>
      </w:r>
      <w:proofErr w:type="spellEnd"/>
      <w:r w:rsidRPr="003D14FC">
        <w:rPr>
          <w:rFonts w:eastAsia="Calibri"/>
          <w:b/>
          <w:i/>
          <w:color w:val="141313"/>
          <w:sz w:val="24"/>
          <w:szCs w:val="24"/>
        </w:rPr>
        <w:t xml:space="preserve"> </w:t>
      </w:r>
      <w:proofErr w:type="spellStart"/>
      <w:r w:rsidRPr="003D14FC">
        <w:rPr>
          <w:rFonts w:eastAsia="Calibri"/>
          <w:b/>
          <w:i/>
          <w:color w:val="141313"/>
          <w:sz w:val="24"/>
          <w:szCs w:val="24"/>
        </w:rPr>
        <w:t>kroyeri</w:t>
      </w:r>
      <w:proofErr w:type="spellEnd"/>
      <w:r w:rsidRPr="003D14FC">
        <w:rPr>
          <w:rFonts w:eastAsia="Calibri"/>
          <w:b/>
          <w:color w:val="141313"/>
          <w:sz w:val="24"/>
          <w:szCs w:val="24"/>
        </w:rPr>
        <w:t xml:space="preserve">) em comunidades do entorno do Parque Nacional do </w:t>
      </w:r>
      <w:proofErr w:type="spellStart"/>
      <w:r w:rsidRPr="003D14FC">
        <w:rPr>
          <w:rFonts w:eastAsia="Calibri"/>
          <w:b/>
          <w:color w:val="141313"/>
          <w:sz w:val="24"/>
          <w:szCs w:val="24"/>
        </w:rPr>
        <w:t>Superagui</w:t>
      </w:r>
      <w:proofErr w:type="spellEnd"/>
      <w:r w:rsidRPr="003D14FC">
        <w:rPr>
          <w:rFonts w:eastAsia="Calibri"/>
          <w:b/>
          <w:color w:val="141313"/>
          <w:sz w:val="24"/>
          <w:szCs w:val="24"/>
        </w:rPr>
        <w:t xml:space="preserve"> – Paraná</w:t>
      </w:r>
      <w:r w:rsidRPr="003D14FC">
        <w:rPr>
          <w:rFonts w:eastAsia="Calibri"/>
          <w:color w:val="141313"/>
          <w:sz w:val="24"/>
          <w:szCs w:val="24"/>
        </w:rPr>
        <w:t>. Dissertação (Mestrado em Sistemas Costeiros e Oceânicos), Universidade Federal do Paraná, 2008.</w:t>
      </w:r>
    </w:p>
    <w:p w:rsidR="00D352F0" w:rsidRPr="003D14FC" w:rsidRDefault="00D352F0" w:rsidP="003D14FC">
      <w:pPr>
        <w:pStyle w:val="SemEspaamento"/>
        <w:spacing w:before="120" w:after="240"/>
        <w:rPr>
          <w:rFonts w:ascii="Arial" w:hAnsi="Arial" w:cs="Arial"/>
          <w:szCs w:val="24"/>
        </w:rPr>
      </w:pPr>
      <w:r w:rsidRPr="003D14FC">
        <w:rPr>
          <w:rFonts w:ascii="Arial" w:hAnsi="Arial" w:cs="Arial"/>
          <w:szCs w:val="24"/>
        </w:rPr>
        <w:t xml:space="preserve">MAPA DE CONFLITOS ENVOLVENDO INJUSTIÇA AMBIENTAL E SAÚDE NO BRASIL. Disponível em </w:t>
      </w:r>
      <w:proofErr w:type="gramStart"/>
      <w:r w:rsidRPr="003D14FC">
        <w:rPr>
          <w:rFonts w:ascii="Arial" w:hAnsi="Arial" w:cs="Arial"/>
          <w:szCs w:val="24"/>
        </w:rPr>
        <w:t>http://www.conflitoambiental.icict.fiocruz.br/index.</w:t>
      </w:r>
      <w:proofErr w:type="gramEnd"/>
      <w:r w:rsidRPr="003D14FC">
        <w:rPr>
          <w:rFonts w:ascii="Arial" w:hAnsi="Arial" w:cs="Arial"/>
          <w:szCs w:val="24"/>
        </w:rPr>
        <w:t>php?</w:t>
      </w:r>
      <w:proofErr w:type="gramStart"/>
      <w:r w:rsidRPr="003D14FC">
        <w:rPr>
          <w:rFonts w:ascii="Arial" w:hAnsi="Arial" w:cs="Arial"/>
          <w:szCs w:val="24"/>
        </w:rPr>
        <w:t>pag</w:t>
      </w:r>
      <w:proofErr w:type="gramEnd"/>
      <w:r w:rsidRPr="003D14FC">
        <w:rPr>
          <w:rFonts w:ascii="Arial" w:hAnsi="Arial" w:cs="Arial"/>
          <w:szCs w:val="24"/>
        </w:rPr>
        <w:t>=ficha&amp;cod=38 Acesso em 09 out. 2016.</w:t>
      </w:r>
    </w:p>
    <w:p w:rsidR="00D352F0" w:rsidRPr="003D14FC" w:rsidRDefault="00D352F0" w:rsidP="003D14FC">
      <w:pPr>
        <w:spacing w:before="120" w:after="240" w:line="240" w:lineRule="auto"/>
        <w:jc w:val="both"/>
        <w:rPr>
          <w:rFonts w:eastAsia="Calibri"/>
          <w:sz w:val="24"/>
          <w:szCs w:val="24"/>
        </w:rPr>
      </w:pPr>
      <w:r w:rsidRPr="003D14FC">
        <w:rPr>
          <w:rFonts w:eastAsia="Calibri"/>
          <w:sz w:val="24"/>
          <w:szCs w:val="24"/>
        </w:rPr>
        <w:t xml:space="preserve">MARBRASIL. </w:t>
      </w:r>
      <w:r w:rsidRPr="003D14FC">
        <w:rPr>
          <w:rFonts w:eastAsia="Calibri"/>
          <w:b/>
          <w:sz w:val="24"/>
          <w:szCs w:val="24"/>
        </w:rPr>
        <w:t xml:space="preserve">Projeto </w:t>
      </w:r>
      <w:proofErr w:type="spellStart"/>
      <w:proofErr w:type="gramStart"/>
      <w:r w:rsidRPr="003D14FC">
        <w:rPr>
          <w:rFonts w:eastAsia="Calibri"/>
          <w:b/>
          <w:sz w:val="24"/>
          <w:szCs w:val="24"/>
        </w:rPr>
        <w:t>ProToninhas</w:t>
      </w:r>
      <w:proofErr w:type="spellEnd"/>
      <w:proofErr w:type="gramEnd"/>
      <w:r w:rsidRPr="003D14FC">
        <w:rPr>
          <w:rFonts w:eastAsia="Calibri"/>
          <w:sz w:val="24"/>
          <w:szCs w:val="24"/>
        </w:rPr>
        <w:t>, 2015. Disponível em: &lt;http://www.marbrasil.org/?</w:t>
      </w:r>
      <w:proofErr w:type="gramStart"/>
      <w:r w:rsidRPr="003D14FC">
        <w:rPr>
          <w:rFonts w:eastAsia="Calibri"/>
          <w:sz w:val="24"/>
          <w:szCs w:val="24"/>
        </w:rPr>
        <w:t>portfolio</w:t>
      </w:r>
      <w:proofErr w:type="gramEnd"/>
      <w:r w:rsidRPr="003D14FC">
        <w:rPr>
          <w:rFonts w:eastAsia="Calibri"/>
          <w:sz w:val="24"/>
          <w:szCs w:val="24"/>
        </w:rPr>
        <w:t>=protoninhas&gt;. Acesso em: 23/11/2016.</w:t>
      </w:r>
    </w:p>
    <w:p w:rsidR="00D352F0" w:rsidRPr="003D14FC" w:rsidRDefault="00D352F0" w:rsidP="003D14FC">
      <w:pPr>
        <w:spacing w:before="120" w:after="240" w:line="240" w:lineRule="auto"/>
        <w:jc w:val="both"/>
        <w:rPr>
          <w:sz w:val="24"/>
          <w:szCs w:val="24"/>
        </w:rPr>
      </w:pPr>
      <w:r w:rsidRPr="003D14FC">
        <w:rPr>
          <w:sz w:val="24"/>
          <w:szCs w:val="24"/>
        </w:rPr>
        <w:t xml:space="preserve">MIGUEL, L. de A., 1997 apud TEIXEIRA, C. A proteção ambiental em Guaraqueçaba: substituição de agentes e de concepções sobre a relação sociedade-meio ambiente. In: II </w:t>
      </w:r>
      <w:r w:rsidRPr="003D14FC">
        <w:rPr>
          <w:b/>
          <w:sz w:val="24"/>
          <w:szCs w:val="24"/>
        </w:rPr>
        <w:t>Anais</w:t>
      </w:r>
      <w:r w:rsidRPr="003D14FC">
        <w:rPr>
          <w:sz w:val="24"/>
          <w:szCs w:val="24"/>
        </w:rPr>
        <w:t xml:space="preserve"> Encontro da Associação Nacional de Pós-graduação e pesquisa em Ambiente e Sociedade - ENANPPAS, maio, 2004.</w:t>
      </w:r>
    </w:p>
    <w:p w:rsidR="00D352F0" w:rsidRPr="003D14FC" w:rsidRDefault="00D352F0" w:rsidP="003D14FC">
      <w:pPr>
        <w:spacing w:before="120" w:after="240" w:line="240" w:lineRule="auto"/>
        <w:jc w:val="both"/>
        <w:rPr>
          <w:rFonts w:eastAsia="Calibri"/>
          <w:color w:val="141313"/>
          <w:sz w:val="24"/>
          <w:szCs w:val="24"/>
        </w:rPr>
      </w:pPr>
      <w:r w:rsidRPr="003D14FC">
        <w:rPr>
          <w:rFonts w:eastAsia="Calibri"/>
          <w:color w:val="141313"/>
          <w:sz w:val="24"/>
          <w:szCs w:val="24"/>
        </w:rPr>
        <w:t xml:space="preserve">MIRANDA, R. B. </w:t>
      </w:r>
      <w:r w:rsidRPr="003D14FC">
        <w:rPr>
          <w:rFonts w:eastAsia="Calibri"/>
          <w:b/>
          <w:bCs/>
          <w:color w:val="141313"/>
          <w:sz w:val="24"/>
          <w:szCs w:val="24"/>
        </w:rPr>
        <w:t xml:space="preserve">Dinâmicas de apropriação e saberes comunais dos manguezais e de seus recursos </w:t>
      </w:r>
      <w:proofErr w:type="spellStart"/>
      <w:r w:rsidRPr="003D14FC">
        <w:rPr>
          <w:rFonts w:eastAsia="Calibri"/>
          <w:b/>
          <w:bCs/>
          <w:color w:val="141313"/>
          <w:sz w:val="24"/>
          <w:szCs w:val="24"/>
        </w:rPr>
        <w:t>bênticos</w:t>
      </w:r>
      <w:proofErr w:type="spellEnd"/>
      <w:r w:rsidRPr="003D14FC">
        <w:rPr>
          <w:rFonts w:eastAsia="Calibri"/>
          <w:b/>
          <w:bCs/>
          <w:color w:val="141313"/>
          <w:sz w:val="24"/>
          <w:szCs w:val="24"/>
        </w:rPr>
        <w:t xml:space="preserve"> de interesse econômico no complexo estuarino da baía de Paranaguá, Paraná</w:t>
      </w:r>
      <w:r w:rsidRPr="003D14FC">
        <w:rPr>
          <w:rFonts w:eastAsia="Calibri"/>
          <w:color w:val="141313"/>
          <w:sz w:val="24"/>
          <w:szCs w:val="24"/>
        </w:rPr>
        <w:t>. Tese (Doutorado em Meio Ambiente e Desenvolvimento) - Universidade Federal do Paraná, Curitiba, 2004.</w:t>
      </w:r>
    </w:p>
    <w:p w:rsidR="003D14FC" w:rsidRPr="003D14FC" w:rsidRDefault="003D14FC" w:rsidP="003D14FC">
      <w:pPr>
        <w:spacing w:before="120" w:after="240" w:line="240" w:lineRule="auto"/>
        <w:jc w:val="both"/>
        <w:rPr>
          <w:sz w:val="24"/>
          <w:szCs w:val="24"/>
        </w:rPr>
      </w:pPr>
      <w:r w:rsidRPr="003D14FC">
        <w:rPr>
          <w:sz w:val="24"/>
          <w:szCs w:val="24"/>
        </w:rPr>
        <w:t>MMA</w:t>
      </w:r>
      <w:r>
        <w:rPr>
          <w:sz w:val="24"/>
          <w:szCs w:val="24"/>
        </w:rPr>
        <w:t xml:space="preserve"> – MINISTÉRIO DO MEIO AMBIENTE.</w:t>
      </w:r>
      <w:r w:rsidR="00FF1AA6">
        <w:rPr>
          <w:sz w:val="24"/>
          <w:szCs w:val="24"/>
        </w:rPr>
        <w:t xml:space="preserve"> Encontros e Caminhos. Vol.3,</w:t>
      </w:r>
      <w:r w:rsidRPr="003D14FC">
        <w:rPr>
          <w:sz w:val="24"/>
          <w:szCs w:val="24"/>
        </w:rPr>
        <w:t xml:space="preserve"> 2014. Disponível em:&lt;http://pt.scribd.com/doc/228157241/Livro-Encontros--e-Caminhos-Vol-3#scribd&gt;. Acesso em: fev. 2015.</w:t>
      </w:r>
    </w:p>
    <w:p w:rsidR="00D352F0" w:rsidRPr="003D14FC" w:rsidRDefault="00D352F0" w:rsidP="003D14FC">
      <w:pPr>
        <w:spacing w:before="120" w:after="240" w:line="240" w:lineRule="auto"/>
        <w:jc w:val="both"/>
        <w:rPr>
          <w:sz w:val="24"/>
          <w:szCs w:val="24"/>
        </w:rPr>
      </w:pPr>
      <w:r w:rsidRPr="003D14FC">
        <w:rPr>
          <w:sz w:val="24"/>
          <w:szCs w:val="24"/>
        </w:rPr>
        <w:t xml:space="preserve">MPA - MINISTÉRIO DA PESCA E AQUICULTURA. </w:t>
      </w:r>
      <w:r w:rsidRPr="003D14FC">
        <w:rPr>
          <w:b/>
          <w:iCs/>
          <w:sz w:val="24"/>
          <w:szCs w:val="24"/>
        </w:rPr>
        <w:t>Boletim Estatístico da Pesca e Aquicultura</w:t>
      </w:r>
      <w:r w:rsidRPr="003D14FC">
        <w:rPr>
          <w:iCs/>
          <w:sz w:val="24"/>
          <w:szCs w:val="24"/>
        </w:rPr>
        <w:t>. Brasil, 2010</w:t>
      </w:r>
      <w:r w:rsidRPr="003D14FC">
        <w:rPr>
          <w:sz w:val="24"/>
          <w:szCs w:val="24"/>
        </w:rPr>
        <w:t xml:space="preserve">. Brasília. Disponível em: </w:t>
      </w:r>
      <w:r w:rsidRPr="003D14FC">
        <w:rPr>
          <w:sz w:val="24"/>
          <w:szCs w:val="24"/>
        </w:rPr>
        <w:lastRenderedPageBreak/>
        <w:t>&lt;http://www.mpa.gov.br/images/Docs/Informacoes_e_Estatisticas/Boletim%</w:t>
      </w:r>
      <w:proofErr w:type="gramStart"/>
      <w:r w:rsidRPr="003D14FC">
        <w:rPr>
          <w:sz w:val="24"/>
          <w:szCs w:val="24"/>
        </w:rPr>
        <w:t>20Estat</w:t>
      </w:r>
      <w:proofErr w:type="gramEnd"/>
      <w:r w:rsidRPr="003D14FC">
        <w:rPr>
          <w:sz w:val="24"/>
          <w:szCs w:val="24"/>
        </w:rPr>
        <w:t>%C3%ADstico%20MPA%202010.pdf&gt;. Acesso em: 29/10/2016.</w:t>
      </w:r>
    </w:p>
    <w:p w:rsidR="00D352F0" w:rsidRPr="003D14FC" w:rsidRDefault="00D352F0" w:rsidP="003D14FC">
      <w:pPr>
        <w:pStyle w:val="Default"/>
        <w:spacing w:before="120" w:after="240"/>
        <w:jc w:val="both"/>
      </w:pPr>
      <w:r w:rsidRPr="003D14FC">
        <w:t xml:space="preserve">MUNIZ, José Carlos. </w:t>
      </w:r>
      <w:r w:rsidRPr="003D14FC">
        <w:rPr>
          <w:b/>
        </w:rPr>
        <w:t>PR 405 - a velha e esburacada estrada.</w:t>
      </w:r>
      <w:r w:rsidRPr="003D14FC">
        <w:t xml:space="preserve"> Campanha de pavimentação, agora com cara e força nova. Guaraqueçaba, 15 fev. 2011. Disponível em: http://informativo-nossopixirum.blogspot.com.br/2011/02/pr-405-velha-e-esburacada-estrada.html. Acesso em: 15 nov. 2016.</w:t>
      </w:r>
    </w:p>
    <w:p w:rsidR="00D352F0" w:rsidRPr="003D14FC" w:rsidRDefault="00D352F0" w:rsidP="003D14FC">
      <w:pPr>
        <w:spacing w:before="120" w:after="240" w:line="240" w:lineRule="auto"/>
        <w:jc w:val="both"/>
        <w:rPr>
          <w:bCs/>
          <w:sz w:val="24"/>
          <w:szCs w:val="24"/>
        </w:rPr>
      </w:pPr>
      <w:r w:rsidRPr="003D14FC">
        <w:rPr>
          <w:sz w:val="24"/>
          <w:szCs w:val="24"/>
        </w:rPr>
        <w:t xml:space="preserve">NEUBAUER FILHO, A. </w:t>
      </w:r>
      <w:r w:rsidRPr="003D14FC">
        <w:rPr>
          <w:b/>
          <w:bCs/>
          <w:sz w:val="24"/>
          <w:szCs w:val="24"/>
        </w:rPr>
        <w:t>Valoração do impacto do derramamento de produtos químicos na Baía de Paranaguá</w:t>
      </w:r>
      <w:r w:rsidRPr="003D14FC">
        <w:rPr>
          <w:bCs/>
          <w:sz w:val="24"/>
          <w:szCs w:val="24"/>
        </w:rPr>
        <w:t>. Dissertação (Mestrado em Desenvolvimento e Tecnologia) – Instituto de Tecnologia para o Desenvolvimento, Curitiba, 2009.</w:t>
      </w:r>
    </w:p>
    <w:p w:rsidR="00D352F0" w:rsidRPr="003D14FC" w:rsidRDefault="00D352F0" w:rsidP="003D14FC">
      <w:pPr>
        <w:spacing w:before="120" w:after="240" w:line="240" w:lineRule="auto"/>
        <w:jc w:val="both"/>
        <w:rPr>
          <w:sz w:val="24"/>
          <w:szCs w:val="24"/>
        </w:rPr>
      </w:pPr>
      <w:r w:rsidRPr="003D14FC">
        <w:rPr>
          <w:sz w:val="24"/>
          <w:szCs w:val="24"/>
        </w:rPr>
        <w:t xml:space="preserve">PAIVA, M. P. </w:t>
      </w:r>
      <w:r w:rsidRPr="003D14FC">
        <w:rPr>
          <w:b/>
          <w:sz w:val="24"/>
          <w:szCs w:val="24"/>
        </w:rPr>
        <w:t>Recursos pesqueiros estuarinos e marinhos do Brasil</w:t>
      </w:r>
      <w:r w:rsidRPr="003D14FC">
        <w:rPr>
          <w:sz w:val="24"/>
          <w:szCs w:val="24"/>
        </w:rPr>
        <w:t>. Universidade Federal do Ceará, Fortaleza, 1997.</w:t>
      </w:r>
    </w:p>
    <w:p w:rsidR="00D352F0" w:rsidRPr="003D14FC" w:rsidRDefault="00D352F0" w:rsidP="003D14FC">
      <w:pPr>
        <w:spacing w:before="120" w:after="240" w:line="240" w:lineRule="auto"/>
        <w:jc w:val="both"/>
        <w:rPr>
          <w:rFonts w:eastAsia="Calibri"/>
          <w:sz w:val="24"/>
          <w:szCs w:val="24"/>
        </w:rPr>
      </w:pPr>
      <w:r w:rsidRPr="003D14FC">
        <w:rPr>
          <w:rFonts w:eastAsia="Calibri"/>
          <w:sz w:val="24"/>
          <w:szCs w:val="24"/>
        </w:rPr>
        <w:t xml:space="preserve">PAULA, G. S. </w:t>
      </w:r>
      <w:r w:rsidRPr="003D14FC">
        <w:rPr>
          <w:rFonts w:eastAsia="Calibri"/>
          <w:b/>
          <w:sz w:val="24"/>
          <w:szCs w:val="24"/>
        </w:rPr>
        <w:t>Dimensões humanas das Áreas Marinhas Protegidas: o caso da pesca de caranguejo uçá (</w:t>
      </w:r>
      <w:proofErr w:type="spellStart"/>
      <w:r w:rsidRPr="003D14FC">
        <w:rPr>
          <w:rFonts w:eastAsia="Calibri"/>
          <w:b/>
          <w:i/>
          <w:sz w:val="24"/>
          <w:szCs w:val="24"/>
        </w:rPr>
        <w:t>Ucides</w:t>
      </w:r>
      <w:proofErr w:type="spellEnd"/>
      <w:r w:rsidRPr="003D14FC">
        <w:rPr>
          <w:rFonts w:eastAsia="Calibri"/>
          <w:b/>
          <w:i/>
          <w:sz w:val="24"/>
          <w:szCs w:val="24"/>
        </w:rPr>
        <w:t xml:space="preserve"> </w:t>
      </w:r>
      <w:proofErr w:type="spellStart"/>
      <w:r w:rsidRPr="003D14FC">
        <w:rPr>
          <w:rFonts w:eastAsia="Calibri"/>
          <w:b/>
          <w:i/>
          <w:sz w:val="24"/>
          <w:szCs w:val="24"/>
        </w:rPr>
        <w:t>cordatus</w:t>
      </w:r>
      <w:proofErr w:type="spellEnd"/>
      <w:r w:rsidRPr="003D14FC">
        <w:rPr>
          <w:rFonts w:eastAsia="Calibri"/>
          <w:b/>
          <w:sz w:val="24"/>
          <w:szCs w:val="24"/>
        </w:rPr>
        <w:t>) em uma região de manguezais do sul do Brasil.</w:t>
      </w:r>
      <w:r w:rsidRPr="003D14FC">
        <w:rPr>
          <w:rFonts w:eastAsia="Calibri"/>
          <w:sz w:val="24"/>
          <w:szCs w:val="24"/>
        </w:rPr>
        <w:t xml:space="preserve"> Trabalho de Graduação (Bacharelado em Oceanografia) – Centro de Estudos do Mar, Universidade Federal do Paraná, Pontal do Paraná, 2014.</w:t>
      </w:r>
    </w:p>
    <w:p w:rsidR="00E47A53" w:rsidRPr="003D14FC" w:rsidRDefault="00E47A53" w:rsidP="003D14FC">
      <w:pPr>
        <w:spacing w:before="120" w:after="240" w:line="240" w:lineRule="auto"/>
        <w:jc w:val="both"/>
        <w:rPr>
          <w:sz w:val="24"/>
          <w:szCs w:val="24"/>
        </w:rPr>
      </w:pPr>
      <w:r w:rsidRPr="003D14FC">
        <w:rPr>
          <w:color w:val="222222"/>
          <w:sz w:val="24"/>
          <w:szCs w:val="24"/>
          <w:shd w:val="clear" w:color="auto" w:fill="FFFFFF"/>
        </w:rPr>
        <w:t xml:space="preserve">PEREIRA, Bárbara Elisa; DIEGUES, </w:t>
      </w:r>
      <w:proofErr w:type="spellStart"/>
      <w:r w:rsidRPr="003D14FC">
        <w:rPr>
          <w:color w:val="222222"/>
          <w:sz w:val="24"/>
          <w:szCs w:val="24"/>
          <w:shd w:val="clear" w:color="auto" w:fill="FFFFFF"/>
        </w:rPr>
        <w:t>Antonio</w:t>
      </w:r>
      <w:proofErr w:type="spellEnd"/>
      <w:r w:rsidRPr="003D14FC">
        <w:rPr>
          <w:color w:val="222222"/>
          <w:sz w:val="24"/>
          <w:szCs w:val="24"/>
          <w:shd w:val="clear" w:color="auto" w:fill="FFFFFF"/>
        </w:rPr>
        <w:t xml:space="preserve"> Carlos. Conhecimento de populações tradicionais como possibilidade de conservação da natureza: uma reflexão sobre a perspectiva da </w:t>
      </w:r>
      <w:proofErr w:type="spellStart"/>
      <w:r w:rsidRPr="003D14FC">
        <w:rPr>
          <w:color w:val="222222"/>
          <w:sz w:val="24"/>
          <w:szCs w:val="24"/>
          <w:shd w:val="clear" w:color="auto" w:fill="FFFFFF"/>
        </w:rPr>
        <w:t>etnoconservação</w:t>
      </w:r>
      <w:proofErr w:type="spellEnd"/>
      <w:r w:rsidRPr="003D14FC">
        <w:rPr>
          <w:color w:val="222222"/>
          <w:sz w:val="24"/>
          <w:szCs w:val="24"/>
          <w:shd w:val="clear" w:color="auto" w:fill="FFFFFF"/>
        </w:rPr>
        <w:t xml:space="preserve">. </w:t>
      </w:r>
      <w:r w:rsidRPr="003D14FC">
        <w:rPr>
          <w:b/>
          <w:bCs/>
          <w:color w:val="222222"/>
          <w:sz w:val="24"/>
          <w:szCs w:val="24"/>
          <w:shd w:val="clear" w:color="auto" w:fill="FFFFFF"/>
        </w:rPr>
        <w:t>Desenvolvimento e Meio Ambiente</w:t>
      </w:r>
      <w:r w:rsidRPr="003D14FC">
        <w:rPr>
          <w:color w:val="222222"/>
          <w:sz w:val="24"/>
          <w:szCs w:val="24"/>
          <w:shd w:val="clear" w:color="auto" w:fill="FFFFFF"/>
        </w:rPr>
        <w:t>, v. 22, 2010.</w:t>
      </w:r>
    </w:p>
    <w:p w:rsidR="00D352F0" w:rsidRPr="003D14FC" w:rsidRDefault="00D352F0" w:rsidP="003D14FC">
      <w:pPr>
        <w:spacing w:before="120" w:after="240" w:line="240" w:lineRule="auto"/>
        <w:jc w:val="both"/>
        <w:rPr>
          <w:iCs/>
          <w:color w:val="000000"/>
          <w:sz w:val="24"/>
          <w:szCs w:val="24"/>
        </w:rPr>
      </w:pPr>
      <w:r w:rsidRPr="003D14FC">
        <w:rPr>
          <w:iCs/>
          <w:color w:val="000000"/>
          <w:sz w:val="24"/>
          <w:szCs w:val="24"/>
        </w:rPr>
        <w:t>PIERRI, N. E</w:t>
      </w:r>
      <w:proofErr w:type="gramStart"/>
      <w:r w:rsidRPr="003D14FC">
        <w:rPr>
          <w:iCs/>
          <w:color w:val="000000"/>
          <w:sz w:val="24"/>
          <w:szCs w:val="24"/>
        </w:rPr>
        <w:t>.;</w:t>
      </w:r>
      <w:proofErr w:type="gramEnd"/>
      <w:r w:rsidRPr="003D14FC">
        <w:rPr>
          <w:iCs/>
          <w:color w:val="000000"/>
          <w:sz w:val="24"/>
          <w:szCs w:val="24"/>
        </w:rPr>
        <w:t xml:space="preserve"> ANGULO, R. J.; SOUZA, M. C.; KIM, M. K. A ocupação e o uso do solo no litoral paranaense: condicionantes, conflitos e tendências. </w:t>
      </w:r>
      <w:r w:rsidRPr="003D14FC">
        <w:rPr>
          <w:b/>
          <w:bCs/>
          <w:iCs/>
          <w:color w:val="000000"/>
          <w:sz w:val="24"/>
          <w:szCs w:val="24"/>
        </w:rPr>
        <w:t>Desenvolvimento e Meio Ambiente</w:t>
      </w:r>
      <w:r w:rsidRPr="003D14FC">
        <w:rPr>
          <w:bCs/>
          <w:iCs/>
          <w:color w:val="000000"/>
          <w:sz w:val="24"/>
          <w:szCs w:val="24"/>
        </w:rPr>
        <w:t xml:space="preserve">. </w:t>
      </w:r>
      <w:r w:rsidRPr="003D14FC">
        <w:rPr>
          <w:iCs/>
          <w:color w:val="000000"/>
          <w:sz w:val="24"/>
          <w:szCs w:val="24"/>
        </w:rPr>
        <w:t>Curitiba, 2006.</w:t>
      </w:r>
    </w:p>
    <w:p w:rsidR="003D14FC" w:rsidRPr="003D14FC" w:rsidRDefault="003D14FC" w:rsidP="003D14FC">
      <w:pPr>
        <w:spacing w:before="120" w:after="240" w:line="240" w:lineRule="auto"/>
        <w:jc w:val="both"/>
        <w:rPr>
          <w:iCs/>
          <w:color w:val="000000"/>
          <w:sz w:val="24"/>
          <w:szCs w:val="24"/>
        </w:rPr>
      </w:pPr>
      <w:r w:rsidRPr="003D14FC">
        <w:rPr>
          <w:iCs/>
          <w:color w:val="000000"/>
          <w:sz w:val="24"/>
          <w:szCs w:val="24"/>
        </w:rPr>
        <w:t>PINTO. C. I. Fandango do Paraná. Curitiba: UFPR, 1992.</w:t>
      </w:r>
    </w:p>
    <w:p w:rsidR="00D352F0" w:rsidRPr="003D14FC" w:rsidRDefault="00D352F0" w:rsidP="003D14FC">
      <w:pPr>
        <w:spacing w:before="120" w:after="240" w:line="240" w:lineRule="auto"/>
        <w:jc w:val="both"/>
        <w:rPr>
          <w:sz w:val="24"/>
          <w:szCs w:val="24"/>
        </w:rPr>
      </w:pPr>
      <w:r w:rsidRPr="003D14FC">
        <w:rPr>
          <w:sz w:val="24"/>
          <w:szCs w:val="24"/>
          <w:highlight w:val="white"/>
        </w:rPr>
        <w:t xml:space="preserve">PROCOPIAK, L. K. </w:t>
      </w:r>
      <w:proofErr w:type="gramStart"/>
      <w:r w:rsidRPr="003D14FC">
        <w:rPr>
          <w:i/>
          <w:sz w:val="24"/>
          <w:szCs w:val="24"/>
          <w:highlight w:val="white"/>
        </w:rPr>
        <w:t>et</w:t>
      </w:r>
      <w:proofErr w:type="gramEnd"/>
      <w:r w:rsidRPr="003D14FC">
        <w:rPr>
          <w:i/>
          <w:sz w:val="24"/>
          <w:szCs w:val="24"/>
          <w:highlight w:val="white"/>
        </w:rPr>
        <w:t xml:space="preserve"> al. </w:t>
      </w:r>
      <w:r w:rsidRPr="003D14FC">
        <w:rPr>
          <w:sz w:val="24"/>
          <w:szCs w:val="24"/>
          <w:highlight w:val="white"/>
        </w:rPr>
        <w:t xml:space="preserve">(2007). Uso e ocupação do solo na orla marítima no Município de Antonina e poluição no Complexo Estuarino de Paranaguá – PR. In: BOLDRINI, E. B.; SOARES, C. R.; PAULA, E. V. </w:t>
      </w:r>
      <w:r w:rsidRPr="003D14FC">
        <w:rPr>
          <w:b/>
          <w:sz w:val="24"/>
          <w:szCs w:val="24"/>
          <w:highlight w:val="white"/>
        </w:rPr>
        <w:t>Dragagens portuárias no Brasil</w:t>
      </w:r>
      <w:r w:rsidRPr="003D14FC">
        <w:rPr>
          <w:sz w:val="24"/>
          <w:szCs w:val="24"/>
          <w:highlight w:val="white"/>
        </w:rPr>
        <w:t>: licenciamento e monitoramento ambiental. Antonina: Governo do Paraná/SEMA/ADEMADAN/UNIBEM, p. 203-212.</w:t>
      </w:r>
    </w:p>
    <w:p w:rsidR="00F456A5" w:rsidRPr="003D14FC" w:rsidRDefault="00F456A5" w:rsidP="003D14FC">
      <w:pPr>
        <w:pStyle w:val="SemEspaamento"/>
        <w:spacing w:before="120" w:after="240"/>
        <w:rPr>
          <w:rFonts w:ascii="Arial" w:hAnsi="Arial" w:cs="Arial"/>
          <w:szCs w:val="24"/>
        </w:rPr>
      </w:pPr>
      <w:r w:rsidRPr="003D14FC">
        <w:rPr>
          <w:rFonts w:ascii="Arial" w:hAnsi="Arial" w:cs="Arial"/>
          <w:szCs w:val="24"/>
        </w:rPr>
        <w:t xml:space="preserve">ROCHA, Ana Carolina. </w:t>
      </w:r>
      <w:proofErr w:type="spellStart"/>
      <w:r w:rsidRPr="003D14FC">
        <w:rPr>
          <w:rFonts w:ascii="Arial" w:hAnsi="Arial" w:cs="Arial"/>
          <w:szCs w:val="24"/>
        </w:rPr>
        <w:t>Cercamentos</w:t>
      </w:r>
      <w:proofErr w:type="spellEnd"/>
      <w:r w:rsidRPr="003D14FC">
        <w:rPr>
          <w:rFonts w:ascii="Arial" w:hAnsi="Arial" w:cs="Arial"/>
          <w:szCs w:val="24"/>
        </w:rPr>
        <w:t xml:space="preserve"> ambientais: modos de uso dos recursos naturais e conflitos socioambientais no estado do Paraná. </w:t>
      </w:r>
      <w:r w:rsidRPr="003D14FC">
        <w:rPr>
          <w:rFonts w:ascii="Arial" w:hAnsi="Arial" w:cs="Arial"/>
          <w:b/>
          <w:szCs w:val="24"/>
        </w:rPr>
        <w:t>Anais</w:t>
      </w:r>
      <w:r w:rsidRPr="003D14FC">
        <w:rPr>
          <w:rFonts w:ascii="Arial" w:hAnsi="Arial" w:cs="Arial"/>
          <w:szCs w:val="24"/>
        </w:rPr>
        <w:t xml:space="preserve"> do IV Encontro Nacional de Antropologia do Direito (ENADIR), Universidade de São Paulo. São Paulo, 25 a 28 de agosto de 2015.</w:t>
      </w:r>
    </w:p>
    <w:p w:rsidR="00F456A5" w:rsidRPr="003D14FC" w:rsidRDefault="00F456A5" w:rsidP="003D14FC">
      <w:pPr>
        <w:pStyle w:val="SemEspaamento"/>
        <w:spacing w:before="120" w:after="240"/>
        <w:rPr>
          <w:rFonts w:ascii="Arial" w:hAnsi="Arial" w:cs="Arial"/>
          <w:szCs w:val="24"/>
        </w:rPr>
      </w:pPr>
      <w:r w:rsidRPr="003D14FC">
        <w:rPr>
          <w:rFonts w:ascii="Arial" w:hAnsi="Arial" w:cs="Arial"/>
          <w:szCs w:val="24"/>
        </w:rPr>
        <w:t xml:space="preserve">SANTOS, N. M. dos.  Os manguezais do Complexo Estuarino de Paranaguá: variações </w:t>
      </w:r>
      <w:proofErr w:type="spellStart"/>
      <w:r w:rsidRPr="003D14FC">
        <w:rPr>
          <w:rFonts w:ascii="Arial" w:hAnsi="Arial" w:cs="Arial"/>
          <w:szCs w:val="24"/>
        </w:rPr>
        <w:t>interdecadais</w:t>
      </w:r>
      <w:proofErr w:type="spellEnd"/>
      <w:r w:rsidRPr="003D14FC">
        <w:rPr>
          <w:rFonts w:ascii="Arial" w:hAnsi="Arial" w:cs="Arial"/>
          <w:szCs w:val="24"/>
        </w:rPr>
        <w:t xml:space="preserve">, distribuição da biomassa aérea e formas de uso da madeira. </w:t>
      </w:r>
      <w:r w:rsidRPr="003D14FC">
        <w:rPr>
          <w:rFonts w:ascii="Arial" w:hAnsi="Arial" w:cs="Arial"/>
          <w:b/>
          <w:szCs w:val="24"/>
        </w:rPr>
        <w:t>Dissertação</w:t>
      </w:r>
      <w:r w:rsidRPr="003D14FC">
        <w:rPr>
          <w:rFonts w:ascii="Arial" w:hAnsi="Arial" w:cs="Arial"/>
          <w:szCs w:val="24"/>
        </w:rPr>
        <w:t xml:space="preserve"> (mestrado em Sistemas Costeiros e Oceânicos), 94p. 2013. </w:t>
      </w:r>
    </w:p>
    <w:p w:rsidR="00F456A5" w:rsidRPr="003D14FC" w:rsidRDefault="00F456A5" w:rsidP="003D14FC">
      <w:pPr>
        <w:pStyle w:val="SemEspaamento"/>
        <w:spacing w:before="120" w:after="240"/>
        <w:rPr>
          <w:rFonts w:ascii="Arial" w:hAnsi="Arial" w:cs="Arial"/>
          <w:szCs w:val="24"/>
        </w:rPr>
      </w:pPr>
      <w:r w:rsidRPr="003D14FC">
        <w:rPr>
          <w:rFonts w:ascii="Arial" w:hAnsi="Arial" w:cs="Arial"/>
          <w:szCs w:val="24"/>
        </w:rPr>
        <w:t xml:space="preserve">SCHWARTZMAN, Luiz Fernando Guimarães; SIBUYA, Nathalia de Jesus. A Dicotomia entre a Conservação e a visibilidade das Comunidades Tradicionais: um estudo de caso na APA de Guaraqueçaba. 94p. </w:t>
      </w:r>
      <w:r w:rsidRPr="003D14FC">
        <w:rPr>
          <w:rFonts w:ascii="Arial" w:hAnsi="Arial" w:cs="Arial"/>
          <w:b/>
          <w:szCs w:val="24"/>
        </w:rPr>
        <w:t xml:space="preserve">Monografia </w:t>
      </w:r>
      <w:r w:rsidRPr="003D14FC">
        <w:rPr>
          <w:rFonts w:ascii="Arial" w:hAnsi="Arial" w:cs="Arial"/>
          <w:szCs w:val="24"/>
        </w:rPr>
        <w:t>(Bacharelado em Gestão Ambiental) - Setor Litoral da Universidade Federal do Paraná (UFPR). Matinhos (PR), 2013.</w:t>
      </w:r>
    </w:p>
    <w:p w:rsidR="00F64820" w:rsidRPr="003D14FC" w:rsidRDefault="00F64820" w:rsidP="003D14FC">
      <w:pPr>
        <w:spacing w:before="120" w:after="240" w:line="240" w:lineRule="auto"/>
        <w:jc w:val="both"/>
        <w:rPr>
          <w:sz w:val="24"/>
          <w:szCs w:val="24"/>
        </w:rPr>
      </w:pPr>
      <w:r w:rsidRPr="003D14FC">
        <w:rPr>
          <w:sz w:val="24"/>
          <w:szCs w:val="24"/>
        </w:rPr>
        <w:lastRenderedPageBreak/>
        <w:t xml:space="preserve">SEMA - SECRETARIA DO ESTADO DO MEIO AMBIENTE E RECURSOS HÍDRICOS. </w:t>
      </w:r>
      <w:r w:rsidRPr="003D14FC">
        <w:rPr>
          <w:b/>
          <w:sz w:val="24"/>
          <w:szCs w:val="24"/>
        </w:rPr>
        <w:t>Subsídios ao Ordenamento das Áreas Estuarina e Costeira do Paraná</w:t>
      </w:r>
      <w:r w:rsidRPr="003D14FC">
        <w:rPr>
          <w:sz w:val="24"/>
          <w:szCs w:val="24"/>
        </w:rPr>
        <w:t>. Disponível em: &lt;http://www.ambiente.sp.gov.br/parque-lagamar-de-cananeia/sobre-o-parque/&gt; Acesso em: 25 de set. 2016.</w:t>
      </w:r>
    </w:p>
    <w:p w:rsidR="00D352F0" w:rsidRPr="003D14FC" w:rsidRDefault="00F456A5" w:rsidP="003D14FC">
      <w:pPr>
        <w:spacing w:before="120" w:after="240" w:line="240" w:lineRule="auto"/>
        <w:jc w:val="both"/>
        <w:rPr>
          <w:color w:val="000000"/>
          <w:sz w:val="24"/>
          <w:szCs w:val="24"/>
        </w:rPr>
      </w:pPr>
      <w:r w:rsidRPr="003D14FC">
        <w:rPr>
          <w:sz w:val="24"/>
          <w:szCs w:val="24"/>
        </w:rPr>
        <w:t xml:space="preserve">SILVA, J. O.  </w:t>
      </w:r>
      <w:r w:rsidRPr="003D14FC">
        <w:rPr>
          <w:b/>
          <w:sz w:val="24"/>
          <w:szCs w:val="24"/>
        </w:rPr>
        <w:t>Os usos dos manguezais nas unidades de conservação de Guaraqueçaba - PR: dinâmicas socioambientais</w:t>
      </w:r>
      <w:r w:rsidRPr="003D14FC">
        <w:rPr>
          <w:sz w:val="24"/>
          <w:szCs w:val="24"/>
        </w:rPr>
        <w:t>. Dissertação (mestrado em Meio Ambiente e Desenvolvimento) – Universidade Federal do Paraná, Curitiba. 203p. 2013.</w:t>
      </w:r>
      <w:r w:rsidR="00D352F0" w:rsidRPr="003D14FC">
        <w:rPr>
          <w:color w:val="000000"/>
          <w:sz w:val="24"/>
          <w:szCs w:val="24"/>
        </w:rPr>
        <w:t xml:space="preserve"> </w:t>
      </w:r>
    </w:p>
    <w:p w:rsidR="00F456A5" w:rsidRPr="003D14FC" w:rsidRDefault="00F456A5" w:rsidP="003D14FC">
      <w:pPr>
        <w:spacing w:before="120" w:after="240" w:line="240" w:lineRule="auto"/>
        <w:jc w:val="both"/>
        <w:rPr>
          <w:sz w:val="24"/>
          <w:szCs w:val="24"/>
        </w:rPr>
      </w:pPr>
      <w:r w:rsidRPr="003D14FC">
        <w:rPr>
          <w:sz w:val="24"/>
          <w:szCs w:val="24"/>
        </w:rPr>
        <w:t>SILVA, L</w:t>
      </w:r>
      <w:r w:rsidR="00D352F0" w:rsidRPr="003D14FC">
        <w:rPr>
          <w:sz w:val="24"/>
          <w:szCs w:val="24"/>
        </w:rPr>
        <w:t>.R.O</w:t>
      </w:r>
      <w:r w:rsidRPr="003D14FC">
        <w:rPr>
          <w:sz w:val="24"/>
          <w:szCs w:val="24"/>
        </w:rPr>
        <w:t xml:space="preserve">. Conflitos socioambientais no litoral paranaense: </w:t>
      </w:r>
      <w:proofErr w:type="gramStart"/>
      <w:r w:rsidRPr="003D14FC">
        <w:rPr>
          <w:sz w:val="24"/>
          <w:szCs w:val="24"/>
        </w:rPr>
        <w:t>a relação homem e natureza no bioma Mata</w:t>
      </w:r>
      <w:proofErr w:type="gramEnd"/>
      <w:r w:rsidRPr="003D14FC">
        <w:rPr>
          <w:sz w:val="24"/>
          <w:szCs w:val="24"/>
        </w:rPr>
        <w:t xml:space="preserve"> Atlântica. </w:t>
      </w:r>
      <w:r w:rsidRPr="003D14FC">
        <w:rPr>
          <w:b/>
          <w:sz w:val="24"/>
          <w:szCs w:val="24"/>
        </w:rPr>
        <w:t>Anais</w:t>
      </w:r>
      <w:r w:rsidRPr="003D14FC">
        <w:rPr>
          <w:sz w:val="24"/>
          <w:szCs w:val="24"/>
        </w:rPr>
        <w:t xml:space="preserve"> do XI Encontro Nacional de História Oral: Memória Democracia e Justiça, Simpósio Temático História, Natureza, Cultura e Oralidade, UFRJ. Rio de Janeiro, 11 de julho de 2012.</w:t>
      </w:r>
    </w:p>
    <w:p w:rsidR="00F456A5" w:rsidRPr="003D14FC" w:rsidRDefault="00F456A5" w:rsidP="003D14FC">
      <w:pPr>
        <w:spacing w:before="120" w:after="240" w:line="240" w:lineRule="auto"/>
        <w:jc w:val="both"/>
        <w:rPr>
          <w:sz w:val="24"/>
          <w:szCs w:val="24"/>
        </w:rPr>
      </w:pPr>
      <w:r w:rsidRPr="003D14FC">
        <w:rPr>
          <w:sz w:val="24"/>
          <w:szCs w:val="24"/>
        </w:rPr>
        <w:t xml:space="preserve">SILVA, M. S. F.; MELO e SOUZA, R. Unidades de Conservação como estratégia de gestão territorial dos recursos naturais. </w:t>
      </w:r>
      <w:r w:rsidRPr="003D14FC">
        <w:rPr>
          <w:b/>
          <w:sz w:val="24"/>
          <w:szCs w:val="24"/>
        </w:rPr>
        <w:t xml:space="preserve">Revista </w:t>
      </w:r>
      <w:proofErr w:type="spellStart"/>
      <w:proofErr w:type="gramStart"/>
      <w:r w:rsidRPr="003D14FC">
        <w:rPr>
          <w:b/>
          <w:sz w:val="24"/>
          <w:szCs w:val="24"/>
        </w:rPr>
        <w:t>Terr@Plural</w:t>
      </w:r>
      <w:proofErr w:type="spellEnd"/>
      <w:r w:rsidRPr="003D14FC">
        <w:rPr>
          <w:b/>
          <w:sz w:val="24"/>
          <w:szCs w:val="24"/>
        </w:rPr>
        <w:t>,</w:t>
      </w:r>
      <w:proofErr w:type="gramEnd"/>
      <w:r w:rsidRPr="003D14FC">
        <w:rPr>
          <w:sz w:val="24"/>
          <w:szCs w:val="24"/>
        </w:rPr>
        <w:t xml:space="preserve"> v. 3, n. 2, jul./dez. 2009, p. 241-259.</w:t>
      </w:r>
    </w:p>
    <w:p w:rsidR="00D352F0" w:rsidRPr="003D14FC" w:rsidRDefault="00D352F0" w:rsidP="003D14FC">
      <w:pPr>
        <w:spacing w:before="120" w:after="240" w:line="240" w:lineRule="auto"/>
        <w:jc w:val="both"/>
        <w:rPr>
          <w:sz w:val="24"/>
          <w:szCs w:val="24"/>
        </w:rPr>
      </w:pPr>
      <w:r w:rsidRPr="003D14FC">
        <w:rPr>
          <w:sz w:val="24"/>
          <w:szCs w:val="24"/>
        </w:rPr>
        <w:t xml:space="preserve">SISRGP - SISTEMA INFORMATIZADO DO REGISTRO GERAL DA ATIVIDADE PESQUEIRA. </w:t>
      </w:r>
      <w:r w:rsidRPr="003D14FC">
        <w:rPr>
          <w:iCs/>
          <w:sz w:val="24"/>
          <w:szCs w:val="24"/>
        </w:rPr>
        <w:t xml:space="preserve">Boletim </w:t>
      </w:r>
      <w:r w:rsidRPr="003D14FC">
        <w:rPr>
          <w:sz w:val="24"/>
          <w:szCs w:val="24"/>
        </w:rPr>
        <w:t>do Registro Geral da Atividade Pesqueira – RGP, Brasília/DF, 2013.</w:t>
      </w:r>
    </w:p>
    <w:p w:rsidR="00D352F0" w:rsidRPr="003D14FC" w:rsidRDefault="00D352F0" w:rsidP="003D14FC">
      <w:pPr>
        <w:spacing w:before="120" w:after="240" w:line="240" w:lineRule="auto"/>
        <w:jc w:val="both"/>
        <w:rPr>
          <w:sz w:val="24"/>
          <w:szCs w:val="24"/>
        </w:rPr>
      </w:pPr>
      <w:r w:rsidRPr="003D14FC">
        <w:rPr>
          <w:sz w:val="24"/>
          <w:szCs w:val="24"/>
          <w:highlight w:val="white"/>
        </w:rPr>
        <w:t xml:space="preserve">SOARES, C.R. </w:t>
      </w:r>
      <w:r w:rsidRPr="003D14FC">
        <w:rPr>
          <w:b/>
          <w:sz w:val="24"/>
          <w:szCs w:val="24"/>
          <w:highlight w:val="white"/>
        </w:rPr>
        <w:t>Os portos de Paranaguá (PR) e Itajaí (SC):</w:t>
      </w:r>
      <w:r w:rsidRPr="003D14FC">
        <w:rPr>
          <w:sz w:val="24"/>
          <w:szCs w:val="24"/>
          <w:highlight w:val="white"/>
        </w:rPr>
        <w:t xml:space="preserve"> análise comparativa das suas </w:t>
      </w:r>
      <w:proofErr w:type="spellStart"/>
      <w:r w:rsidRPr="003D14FC">
        <w:rPr>
          <w:sz w:val="24"/>
          <w:szCs w:val="24"/>
          <w:highlight w:val="white"/>
        </w:rPr>
        <w:t>relacões</w:t>
      </w:r>
      <w:proofErr w:type="spellEnd"/>
      <w:r w:rsidRPr="003D14FC">
        <w:rPr>
          <w:sz w:val="24"/>
          <w:szCs w:val="24"/>
          <w:highlight w:val="white"/>
        </w:rPr>
        <w:t xml:space="preserve"> com as cidades de inserção, da estrutura operacional atual e das condições </w:t>
      </w:r>
      <w:proofErr w:type="spellStart"/>
      <w:r w:rsidRPr="003D14FC">
        <w:rPr>
          <w:sz w:val="24"/>
          <w:szCs w:val="24"/>
          <w:highlight w:val="white"/>
        </w:rPr>
        <w:t>sócio-ambientais</w:t>
      </w:r>
      <w:proofErr w:type="spellEnd"/>
      <w:r w:rsidRPr="003D14FC">
        <w:rPr>
          <w:sz w:val="24"/>
          <w:szCs w:val="24"/>
          <w:highlight w:val="white"/>
        </w:rPr>
        <w:t xml:space="preserve"> das regiões de entorno. Tese (Doutorado em Meio Ambiente e Desenvolvimento) – Setor de Ciências da Terra, Universidade Federal do Paraná, Curitiba, 2009.</w:t>
      </w:r>
    </w:p>
    <w:p w:rsidR="00F456A5" w:rsidRPr="003D14FC" w:rsidRDefault="00D352F0" w:rsidP="003D14FC">
      <w:pPr>
        <w:spacing w:before="120" w:after="240" w:line="240" w:lineRule="auto"/>
        <w:jc w:val="both"/>
        <w:rPr>
          <w:sz w:val="24"/>
          <w:szCs w:val="24"/>
        </w:rPr>
      </w:pPr>
      <w:r w:rsidRPr="003D14FC">
        <w:rPr>
          <w:sz w:val="24"/>
          <w:szCs w:val="24"/>
        </w:rPr>
        <w:t xml:space="preserve">SOARES, S.I.O. </w:t>
      </w:r>
      <w:r w:rsidR="00F456A5" w:rsidRPr="003D14FC">
        <w:rPr>
          <w:b/>
          <w:sz w:val="24"/>
          <w:szCs w:val="24"/>
        </w:rPr>
        <w:t>Mediação de conflitos ambientais</w:t>
      </w:r>
      <w:r w:rsidR="00F456A5" w:rsidRPr="003D14FC">
        <w:rPr>
          <w:sz w:val="24"/>
          <w:szCs w:val="24"/>
        </w:rPr>
        <w:t>: um novo caminho para a governança da água no Brasil? Curitiba: Juruá, 2010.</w:t>
      </w:r>
    </w:p>
    <w:p w:rsidR="00D352F0" w:rsidRPr="003D14FC" w:rsidRDefault="00D352F0" w:rsidP="003D14FC">
      <w:pPr>
        <w:spacing w:before="120" w:after="240" w:line="240" w:lineRule="auto"/>
        <w:jc w:val="both"/>
        <w:rPr>
          <w:sz w:val="24"/>
          <w:szCs w:val="24"/>
        </w:rPr>
      </w:pPr>
      <w:r w:rsidRPr="003D14FC">
        <w:rPr>
          <w:sz w:val="24"/>
          <w:szCs w:val="24"/>
        </w:rPr>
        <w:t xml:space="preserve">SOUZA, L. R. </w:t>
      </w:r>
      <w:r w:rsidRPr="003D14FC">
        <w:rPr>
          <w:b/>
          <w:bCs/>
          <w:sz w:val="24"/>
          <w:szCs w:val="24"/>
        </w:rPr>
        <w:t>Alterações fisiológicas e bioquímicas no peixe-rei estuarino (</w:t>
      </w:r>
      <w:proofErr w:type="spellStart"/>
      <w:r w:rsidRPr="003D14FC">
        <w:rPr>
          <w:b/>
          <w:bCs/>
          <w:i/>
          <w:sz w:val="24"/>
          <w:szCs w:val="24"/>
        </w:rPr>
        <w:t>Atherinella</w:t>
      </w:r>
      <w:proofErr w:type="spellEnd"/>
      <w:r w:rsidRPr="003D14FC">
        <w:rPr>
          <w:b/>
          <w:bCs/>
          <w:i/>
          <w:sz w:val="24"/>
          <w:szCs w:val="24"/>
        </w:rPr>
        <w:t xml:space="preserve"> brasiliensis</w:t>
      </w:r>
      <w:r w:rsidRPr="003D14FC">
        <w:rPr>
          <w:b/>
          <w:bCs/>
          <w:sz w:val="24"/>
          <w:szCs w:val="24"/>
        </w:rPr>
        <w:t xml:space="preserve">, </w:t>
      </w:r>
      <w:proofErr w:type="spellStart"/>
      <w:r w:rsidRPr="003D14FC">
        <w:rPr>
          <w:b/>
          <w:bCs/>
          <w:sz w:val="24"/>
          <w:szCs w:val="24"/>
        </w:rPr>
        <w:t>Atheriniformes</w:t>
      </w:r>
      <w:proofErr w:type="spellEnd"/>
      <w:r w:rsidRPr="003D14FC">
        <w:rPr>
          <w:b/>
          <w:bCs/>
          <w:sz w:val="24"/>
          <w:szCs w:val="24"/>
        </w:rPr>
        <w:t xml:space="preserve">: </w:t>
      </w:r>
      <w:proofErr w:type="spellStart"/>
      <w:r w:rsidRPr="003D14FC">
        <w:rPr>
          <w:b/>
          <w:bCs/>
          <w:sz w:val="24"/>
          <w:szCs w:val="24"/>
        </w:rPr>
        <w:t>Atherinopsidae</w:t>
      </w:r>
      <w:proofErr w:type="spellEnd"/>
      <w:r w:rsidRPr="003D14FC">
        <w:rPr>
          <w:b/>
          <w:bCs/>
          <w:sz w:val="24"/>
          <w:szCs w:val="24"/>
        </w:rPr>
        <w:t xml:space="preserve">) após a explosão do navio </w:t>
      </w:r>
      <w:proofErr w:type="spellStart"/>
      <w:r w:rsidRPr="003D14FC">
        <w:rPr>
          <w:b/>
          <w:bCs/>
          <w:sz w:val="24"/>
          <w:szCs w:val="24"/>
        </w:rPr>
        <w:t>Vicuña</w:t>
      </w:r>
      <w:proofErr w:type="spellEnd"/>
      <w:r w:rsidRPr="003D14FC">
        <w:rPr>
          <w:b/>
          <w:bCs/>
          <w:sz w:val="24"/>
          <w:szCs w:val="24"/>
        </w:rPr>
        <w:t xml:space="preserve"> na Baía de Paranaguá, Paraná, Brasil. </w:t>
      </w:r>
      <w:r w:rsidRPr="003D14FC">
        <w:rPr>
          <w:sz w:val="24"/>
          <w:szCs w:val="24"/>
        </w:rPr>
        <w:t>Dissertação (Mestrado em Ciências Biológicas). Universidade Federal do Paraná, Curitiba, 2007.</w:t>
      </w:r>
    </w:p>
    <w:p w:rsidR="00F456A5" w:rsidRPr="003D14FC" w:rsidRDefault="00F456A5" w:rsidP="003D14FC">
      <w:pPr>
        <w:spacing w:before="120" w:after="240" w:line="240" w:lineRule="auto"/>
        <w:jc w:val="both"/>
        <w:rPr>
          <w:sz w:val="24"/>
          <w:szCs w:val="24"/>
        </w:rPr>
      </w:pPr>
      <w:r w:rsidRPr="003D14FC">
        <w:rPr>
          <w:sz w:val="24"/>
          <w:szCs w:val="24"/>
        </w:rPr>
        <w:t xml:space="preserve">SOUZA, M. R. Paisagem cultural: patrimônio histórico de Guaraqueçaba/PR. </w:t>
      </w:r>
      <w:r w:rsidRPr="003D14FC">
        <w:rPr>
          <w:b/>
          <w:sz w:val="24"/>
          <w:szCs w:val="24"/>
        </w:rPr>
        <w:t>Revista GEOINGÁ</w:t>
      </w:r>
      <w:r w:rsidRPr="003D14FC">
        <w:rPr>
          <w:sz w:val="24"/>
          <w:szCs w:val="24"/>
        </w:rPr>
        <w:t xml:space="preserve">. </w:t>
      </w:r>
      <w:proofErr w:type="gramStart"/>
      <w:r w:rsidRPr="003D14FC">
        <w:rPr>
          <w:sz w:val="24"/>
          <w:szCs w:val="24"/>
        </w:rPr>
        <w:t>v.</w:t>
      </w:r>
      <w:proofErr w:type="gramEnd"/>
      <w:r w:rsidRPr="003D14FC">
        <w:rPr>
          <w:sz w:val="24"/>
          <w:szCs w:val="24"/>
        </w:rPr>
        <w:t xml:space="preserve"> 2, n.  2 , p. 102-123. Maringá, 2010.  </w:t>
      </w:r>
    </w:p>
    <w:p w:rsidR="00F456A5" w:rsidRPr="003D14FC" w:rsidRDefault="00F456A5" w:rsidP="003D14FC">
      <w:pPr>
        <w:spacing w:before="120" w:after="240" w:line="240" w:lineRule="auto"/>
        <w:jc w:val="both"/>
        <w:rPr>
          <w:sz w:val="24"/>
          <w:szCs w:val="24"/>
        </w:rPr>
      </w:pPr>
      <w:r w:rsidRPr="003D14FC">
        <w:rPr>
          <w:sz w:val="24"/>
          <w:szCs w:val="24"/>
        </w:rPr>
        <w:t xml:space="preserve">TEIXEIRA, C. A proteção ambiental em Guaraqueçaba: substituição de agentes e de concepções sobre a relação sociedade-meio ambiente. In: II </w:t>
      </w:r>
      <w:r w:rsidRPr="003D14FC">
        <w:rPr>
          <w:b/>
          <w:sz w:val="24"/>
          <w:szCs w:val="24"/>
        </w:rPr>
        <w:t xml:space="preserve">Anais </w:t>
      </w:r>
      <w:r w:rsidRPr="003D14FC">
        <w:rPr>
          <w:sz w:val="24"/>
          <w:szCs w:val="24"/>
        </w:rPr>
        <w:t>Encontro da Associação Nacional de Pós-graduação e pesquisa em Ambiente e Sociedade - ENANPPAS, maio, 2004.</w:t>
      </w:r>
    </w:p>
    <w:p w:rsidR="00F456A5" w:rsidRPr="003D14FC" w:rsidRDefault="00F456A5" w:rsidP="003D14FC">
      <w:pPr>
        <w:spacing w:before="120" w:after="240" w:line="240" w:lineRule="auto"/>
        <w:jc w:val="both"/>
        <w:rPr>
          <w:sz w:val="24"/>
          <w:szCs w:val="24"/>
        </w:rPr>
      </w:pPr>
      <w:r w:rsidRPr="003D14FC">
        <w:rPr>
          <w:sz w:val="24"/>
          <w:szCs w:val="24"/>
        </w:rPr>
        <w:t xml:space="preserve">TEIXEIRA, C.; LIMONT, M. Os limites da participação da população local na gestão da APA de Guaraqueçaba: a institucionalização de uma possibilidade e as condições de seu aproveitamento. In: Congresso Brasileiro de Sociologia. </w:t>
      </w:r>
      <w:r w:rsidRPr="003D14FC">
        <w:rPr>
          <w:b/>
          <w:sz w:val="24"/>
          <w:szCs w:val="24"/>
        </w:rPr>
        <w:t>Anais</w:t>
      </w:r>
      <w:r w:rsidRPr="003D14FC">
        <w:rPr>
          <w:sz w:val="24"/>
          <w:szCs w:val="24"/>
        </w:rPr>
        <w:t>. 8. Recife-PE, 2007.</w:t>
      </w:r>
    </w:p>
    <w:p w:rsidR="00F456A5" w:rsidRPr="003D14FC" w:rsidRDefault="00F456A5" w:rsidP="003D14FC">
      <w:pPr>
        <w:spacing w:before="120" w:after="240" w:line="240" w:lineRule="auto"/>
        <w:jc w:val="both"/>
        <w:rPr>
          <w:sz w:val="24"/>
          <w:szCs w:val="24"/>
        </w:rPr>
      </w:pPr>
      <w:r w:rsidRPr="003D14FC">
        <w:rPr>
          <w:sz w:val="24"/>
          <w:szCs w:val="24"/>
        </w:rPr>
        <w:lastRenderedPageBreak/>
        <w:t xml:space="preserve">VARGAS, G. M. Território. In: FERRARO Jr. L. A. </w:t>
      </w:r>
      <w:r w:rsidRPr="003D14FC">
        <w:rPr>
          <w:b/>
          <w:sz w:val="24"/>
          <w:szCs w:val="24"/>
        </w:rPr>
        <w:t>Encontros e caminhos</w:t>
      </w:r>
      <w:r w:rsidRPr="003D14FC">
        <w:rPr>
          <w:sz w:val="24"/>
          <w:szCs w:val="24"/>
        </w:rPr>
        <w:t xml:space="preserve">: formação de </w:t>
      </w:r>
      <w:proofErr w:type="gramStart"/>
      <w:r w:rsidRPr="003D14FC">
        <w:rPr>
          <w:sz w:val="24"/>
          <w:szCs w:val="24"/>
        </w:rPr>
        <w:t>educadoras(</w:t>
      </w:r>
      <w:proofErr w:type="gramEnd"/>
      <w:r w:rsidRPr="003D14FC">
        <w:rPr>
          <w:sz w:val="24"/>
          <w:szCs w:val="24"/>
        </w:rPr>
        <w:t xml:space="preserve">es) ambientais e coletivos educadores. </w:t>
      </w:r>
      <w:proofErr w:type="gramStart"/>
      <w:r w:rsidRPr="003D14FC">
        <w:rPr>
          <w:sz w:val="24"/>
          <w:szCs w:val="24"/>
        </w:rPr>
        <w:t>vol.</w:t>
      </w:r>
      <w:proofErr w:type="gramEnd"/>
      <w:r w:rsidRPr="003D14FC">
        <w:rPr>
          <w:sz w:val="24"/>
          <w:szCs w:val="24"/>
        </w:rPr>
        <w:t xml:space="preserve"> 3. Brasília: </w:t>
      </w:r>
    </w:p>
    <w:p w:rsidR="00F64820" w:rsidRDefault="00F64820" w:rsidP="00F456A5">
      <w:pPr>
        <w:spacing w:line="240" w:lineRule="auto"/>
        <w:jc w:val="both"/>
        <w:rPr>
          <w:sz w:val="24"/>
          <w:szCs w:val="24"/>
        </w:rPr>
      </w:pPr>
    </w:p>
    <w:sectPr w:rsidR="00F64820" w:rsidSect="006145BA">
      <w:headerReference w:type="even" r:id="rId46"/>
      <w:headerReference w:type="default" r:id="rId47"/>
      <w:footerReference w:type="default" r:id="rId48"/>
      <w:headerReference w:type="first" r:id="rId49"/>
      <w:pgSz w:w="11906" w:h="16838" w:code="9"/>
      <w:pgMar w:top="1701" w:right="1134" w:bottom="1134" w:left="1701" w:header="1134" w:footer="709" w:gutter="0"/>
      <w:pgBorders w:offsetFrom="page">
        <w:top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561A" w:rsidRDefault="004B561A" w:rsidP="00694A4F">
      <w:pPr>
        <w:spacing w:line="240" w:lineRule="auto"/>
      </w:pPr>
      <w:r>
        <w:separator/>
      </w:r>
    </w:p>
  </w:endnote>
  <w:endnote w:type="continuationSeparator" w:id="0">
    <w:p w:rsidR="004B561A" w:rsidRDefault="004B561A" w:rsidP="00694A4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Futura Lt BT">
    <w:altName w:val="Century Gothic"/>
    <w:charset w:val="00"/>
    <w:family w:val="swiss"/>
    <w:pitch w:val="variable"/>
    <w:sig w:usb0="00000087"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76E" w:rsidRDefault="009C776E" w:rsidP="00E55671">
    <w:pPr>
      <w:pStyle w:val="Rodap"/>
    </w:pPr>
    <w:r>
      <w:rPr>
        <w:rStyle w:val="Nmerodepgina"/>
      </w:rPr>
      <w:fldChar w:fldCharType="begin"/>
    </w:r>
    <w:r>
      <w:rPr>
        <w:rStyle w:val="Nmerodepgina"/>
      </w:rPr>
      <w:instrText xml:space="preserve"> PAGE </w:instrText>
    </w:r>
    <w:r>
      <w:rPr>
        <w:rStyle w:val="Nmerodepgina"/>
      </w:rPr>
      <w:fldChar w:fldCharType="separate"/>
    </w:r>
    <w:r w:rsidR="00F25DA4">
      <w:rPr>
        <w:rStyle w:val="Nmerodepgina"/>
        <w:noProof/>
      </w:rPr>
      <w:t>70</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561A" w:rsidRDefault="004B561A" w:rsidP="00694A4F">
      <w:pPr>
        <w:spacing w:line="240" w:lineRule="auto"/>
      </w:pPr>
      <w:r>
        <w:separator/>
      </w:r>
    </w:p>
  </w:footnote>
  <w:footnote w:type="continuationSeparator" w:id="0">
    <w:p w:rsidR="004B561A" w:rsidRDefault="004B561A" w:rsidP="00694A4F">
      <w:pPr>
        <w:spacing w:line="240" w:lineRule="auto"/>
      </w:pPr>
      <w:r>
        <w:continuationSeparator/>
      </w:r>
    </w:p>
  </w:footnote>
  <w:footnote w:id="1">
    <w:p w:rsidR="009C776E" w:rsidRDefault="009C776E" w:rsidP="001629FC">
      <w:pPr>
        <w:spacing w:line="240" w:lineRule="auto"/>
      </w:pPr>
      <w:r>
        <w:rPr>
          <w:vertAlign w:val="superscript"/>
        </w:rPr>
        <w:footnoteRef/>
      </w:r>
      <w:r>
        <w:t xml:space="preserve"> </w:t>
      </w:r>
      <w:proofErr w:type="gramStart"/>
      <w:r>
        <w:rPr>
          <w:color w:val="222222"/>
          <w:highlight w:val="white"/>
        </w:rPr>
        <w:t>instrumento</w:t>
      </w:r>
      <w:proofErr w:type="gramEnd"/>
      <w:r>
        <w:rPr>
          <w:color w:val="222222"/>
          <w:highlight w:val="white"/>
        </w:rPr>
        <w:t xml:space="preserve"> que consiste em uma chapa de metal cortante e um cabo curvo, us. esp. em carpintaria e tanoaria para desbastar peças grossas de madeira.</w:t>
      </w:r>
    </w:p>
  </w:footnote>
  <w:footnote w:id="2">
    <w:p w:rsidR="009C776E" w:rsidRPr="001F2B75" w:rsidRDefault="009C776E" w:rsidP="009C776E">
      <w:pPr>
        <w:pStyle w:val="Textodenotaderodap"/>
        <w:jc w:val="both"/>
        <w:rPr>
          <w:rFonts w:ascii="Arial" w:hAnsi="Arial" w:cs="Arial"/>
        </w:rPr>
      </w:pPr>
      <w:r w:rsidRPr="001F2B75">
        <w:rPr>
          <w:rStyle w:val="Refdenotaderodap"/>
        </w:rPr>
        <w:footnoteRef/>
      </w:r>
      <w:r w:rsidRPr="001F2B75">
        <w:rPr>
          <w:rFonts w:ascii="Arial" w:hAnsi="Arial" w:cs="Arial"/>
        </w:rPr>
        <w:t xml:space="preserve"> </w:t>
      </w:r>
      <w:r>
        <w:rPr>
          <w:rFonts w:ascii="Arial" w:hAnsi="Arial" w:cs="Arial"/>
        </w:rPr>
        <w:t xml:space="preserve">Miguel (1997 apud Teixeira, 2004), adota a expressão </w:t>
      </w:r>
      <w:proofErr w:type="spellStart"/>
      <w:r>
        <w:rPr>
          <w:rFonts w:ascii="Arial" w:hAnsi="Arial" w:cs="Arial"/>
        </w:rPr>
        <w:t>neolatifundiários</w:t>
      </w:r>
      <w:proofErr w:type="spellEnd"/>
      <w:r>
        <w:rPr>
          <w:rFonts w:ascii="Arial" w:hAnsi="Arial" w:cs="Arial"/>
        </w:rPr>
        <w:t xml:space="preserve"> para os g</w:t>
      </w:r>
      <w:r w:rsidRPr="001F2B75">
        <w:rPr>
          <w:rFonts w:ascii="Arial" w:hAnsi="Arial" w:cs="Arial"/>
        </w:rPr>
        <w:t>rupos de empresas madeireiras e grupos industriais e comerciais que</w:t>
      </w:r>
      <w:r>
        <w:rPr>
          <w:rFonts w:ascii="Arial" w:hAnsi="Arial" w:cs="Arial"/>
        </w:rPr>
        <w:t xml:space="preserve"> se</w:t>
      </w:r>
      <w:r w:rsidRPr="001F2B75">
        <w:rPr>
          <w:rFonts w:ascii="Arial" w:hAnsi="Arial" w:cs="Arial"/>
        </w:rPr>
        <w:t xml:space="preserve"> instalaram em grandes propriedades destinadas à exploração dos rec</w:t>
      </w:r>
      <w:r>
        <w:rPr>
          <w:rFonts w:ascii="Arial" w:hAnsi="Arial" w:cs="Arial"/>
        </w:rPr>
        <w:t xml:space="preserve">ursos naturais ou à especulação. Ressalta-se que no presente relatório optou-se em utilizar </w:t>
      </w:r>
      <w:proofErr w:type="gramStart"/>
      <w:r>
        <w:rPr>
          <w:rFonts w:ascii="Arial" w:hAnsi="Arial" w:cs="Arial"/>
        </w:rPr>
        <w:t>o termo latifundiários</w:t>
      </w:r>
      <w:proofErr w:type="gramEnd"/>
      <w:r>
        <w:rPr>
          <w:rFonts w:ascii="Arial" w:hAnsi="Arial" w:cs="Arial"/>
        </w:rPr>
        <w:t>.</w:t>
      </w:r>
    </w:p>
  </w:footnote>
  <w:footnote w:id="3">
    <w:p w:rsidR="009C776E" w:rsidRPr="008E08E1" w:rsidRDefault="009C776E" w:rsidP="009C776E">
      <w:pPr>
        <w:pStyle w:val="Textodenotaderodap"/>
        <w:jc w:val="both"/>
        <w:rPr>
          <w:rFonts w:ascii="Arial" w:hAnsi="Arial" w:cs="Arial"/>
        </w:rPr>
      </w:pPr>
      <w:r w:rsidRPr="008E08E1">
        <w:rPr>
          <w:rStyle w:val="Refdenotaderodap"/>
        </w:rPr>
        <w:footnoteRef/>
      </w:r>
      <w:r w:rsidRPr="008E08E1">
        <w:rPr>
          <w:rFonts w:ascii="Arial" w:hAnsi="Arial" w:cs="Arial"/>
        </w:rPr>
        <w:t xml:space="preserve"> Informação cedida dur</w:t>
      </w:r>
      <w:r>
        <w:rPr>
          <w:rFonts w:ascii="Arial" w:hAnsi="Arial" w:cs="Arial"/>
        </w:rPr>
        <w:t>ante a aula de campo em visita as comunidades da AE,</w:t>
      </w:r>
      <w:r w:rsidRPr="008E08E1">
        <w:rPr>
          <w:rFonts w:ascii="Arial" w:hAnsi="Arial" w:cs="Arial"/>
        </w:rPr>
        <w:t xml:space="preserve"> em setembro de 2016.</w:t>
      </w:r>
    </w:p>
  </w:footnote>
  <w:footnote w:id="4">
    <w:p w:rsidR="009C776E" w:rsidRPr="009E63F8" w:rsidRDefault="009C776E" w:rsidP="009C776E">
      <w:pPr>
        <w:pStyle w:val="Textodenotaderodap"/>
        <w:jc w:val="both"/>
        <w:rPr>
          <w:rFonts w:ascii="Arial" w:hAnsi="Arial" w:cs="Arial"/>
        </w:rPr>
      </w:pPr>
      <w:r w:rsidRPr="00085EF9">
        <w:rPr>
          <w:rStyle w:val="Refdenotaderodap"/>
        </w:rPr>
        <w:footnoteRef/>
      </w:r>
      <w:r w:rsidRPr="00085EF9">
        <w:rPr>
          <w:rFonts w:ascii="Arial" w:hAnsi="Arial" w:cs="Arial"/>
        </w:rPr>
        <w:t xml:space="preserve"> </w:t>
      </w:r>
      <w:r w:rsidRPr="009E63F8">
        <w:rPr>
          <w:rFonts w:ascii="Arial" w:hAnsi="Arial" w:cs="Arial"/>
          <w:color w:val="000000"/>
          <w:lang w:eastAsia="pt-BR"/>
        </w:rPr>
        <w:t xml:space="preserve">Unidade especializada da Polícia Militar do Paraná encarregado de monitorar e coibir os crimes ambientais cometidos nas áreas </w:t>
      </w:r>
      <w:proofErr w:type="gramStart"/>
      <w:r w:rsidRPr="009E63F8">
        <w:rPr>
          <w:rFonts w:ascii="Arial" w:hAnsi="Arial" w:cs="Arial"/>
          <w:color w:val="000000"/>
          <w:lang w:eastAsia="pt-BR"/>
        </w:rPr>
        <w:t>sob jurisdição</w:t>
      </w:r>
      <w:proofErr w:type="gramEnd"/>
      <w:r w:rsidRPr="009E63F8">
        <w:rPr>
          <w:rFonts w:ascii="Arial" w:hAnsi="Arial" w:cs="Arial"/>
          <w:color w:val="000000"/>
          <w:lang w:eastAsia="pt-BR"/>
        </w:rPr>
        <w:t xml:space="preserve"> do executivo paranaense. </w:t>
      </w:r>
    </w:p>
  </w:footnote>
  <w:footnote w:id="5">
    <w:p w:rsidR="009C776E" w:rsidRDefault="009C776E" w:rsidP="009C776E">
      <w:pPr>
        <w:pStyle w:val="Textodenotaderodap"/>
        <w:jc w:val="both"/>
      </w:pPr>
      <w:r w:rsidRPr="009E63F8">
        <w:rPr>
          <w:rStyle w:val="Refdenotaderodap"/>
        </w:rPr>
        <w:footnoteRef/>
      </w:r>
      <w:r w:rsidRPr="009E63F8">
        <w:rPr>
          <w:rFonts w:ascii="Arial" w:hAnsi="Arial" w:cs="Arial"/>
        </w:rPr>
        <w:t xml:space="preserve"> Disponível em: </w:t>
      </w:r>
      <w:proofErr w:type="gramStart"/>
      <w:r w:rsidRPr="009E63F8">
        <w:rPr>
          <w:rFonts w:ascii="Arial" w:hAnsi="Arial" w:cs="Arial"/>
        </w:rPr>
        <w:t>http://www.pmpr.pr.gov.br/modules/conteudo/conteudo.</w:t>
      </w:r>
      <w:proofErr w:type="gramEnd"/>
      <w:r w:rsidRPr="009E63F8">
        <w:rPr>
          <w:rFonts w:ascii="Arial" w:hAnsi="Arial" w:cs="Arial"/>
        </w:rPr>
        <w:t>php?</w:t>
      </w:r>
      <w:proofErr w:type="gramStart"/>
      <w:r w:rsidRPr="009E63F8">
        <w:rPr>
          <w:rFonts w:ascii="Arial" w:hAnsi="Arial" w:cs="Arial"/>
        </w:rPr>
        <w:t>conteudo</w:t>
      </w:r>
      <w:proofErr w:type="gramEnd"/>
      <w:r w:rsidRPr="009E63F8">
        <w:rPr>
          <w:rFonts w:ascii="Arial" w:hAnsi="Arial" w:cs="Arial"/>
        </w:rPr>
        <w:t>=37</w:t>
      </w:r>
    </w:p>
  </w:footnote>
  <w:footnote w:id="6">
    <w:p w:rsidR="009C776E" w:rsidRDefault="009C776E" w:rsidP="009C776E">
      <w:pPr>
        <w:pStyle w:val="Textodenotaderodap"/>
      </w:pPr>
      <w:r>
        <w:rPr>
          <w:rStyle w:val="Refdenotaderodap"/>
        </w:rPr>
        <w:footnoteRef/>
      </w:r>
      <w:r>
        <w:t xml:space="preserve"> </w:t>
      </w:r>
      <w:r w:rsidRPr="008E08E1">
        <w:rPr>
          <w:rFonts w:ascii="Arial" w:hAnsi="Arial" w:cs="Arial"/>
        </w:rPr>
        <w:t xml:space="preserve">Informação cedida durante a aula de campo em visita </w:t>
      </w:r>
      <w:r>
        <w:rPr>
          <w:rFonts w:ascii="Arial" w:hAnsi="Arial" w:cs="Arial"/>
        </w:rPr>
        <w:t>as comunidades da AE, em</w:t>
      </w:r>
      <w:r w:rsidRPr="008E08E1">
        <w:rPr>
          <w:rFonts w:ascii="Arial" w:hAnsi="Arial" w:cs="Arial"/>
        </w:rPr>
        <w:t xml:space="preserve"> setembro de 2016.</w:t>
      </w:r>
    </w:p>
  </w:footnote>
  <w:footnote w:id="7">
    <w:p w:rsidR="009C776E" w:rsidRPr="008F3F88" w:rsidRDefault="009C776E" w:rsidP="009C776E">
      <w:pPr>
        <w:pStyle w:val="Textodenotaderodap"/>
        <w:jc w:val="both"/>
        <w:rPr>
          <w:rFonts w:ascii="Arial" w:hAnsi="Arial" w:cs="Arial"/>
        </w:rPr>
      </w:pPr>
      <w:r w:rsidRPr="008F3F88">
        <w:rPr>
          <w:rStyle w:val="Refdenotaderodap"/>
        </w:rPr>
        <w:footnoteRef/>
      </w:r>
      <w:r w:rsidRPr="008F3F88">
        <w:rPr>
          <w:rFonts w:ascii="Arial" w:hAnsi="Arial" w:cs="Arial"/>
        </w:rPr>
        <w:t xml:space="preserve"> A portaria IAP n° 180/2002 não permite a técnica do lacinho, devido aos resíduos gerados pelo material que compõe o artefato, e que podem ser deixados no mangue.</w:t>
      </w:r>
      <w:r>
        <w:rPr>
          <w:rFonts w:ascii="Arial" w:hAnsi="Arial" w:cs="Arial"/>
        </w:rPr>
        <w:t xml:space="preserve"> </w:t>
      </w:r>
      <w:r w:rsidRPr="008F3F88">
        <w:rPr>
          <w:rFonts w:ascii="Arial" w:hAnsi="Arial" w:cs="Arial"/>
        </w:rPr>
        <w:t xml:space="preserve">No entanto, a portaria não menciona o período de reprodução da espécie, que ocorre justamente nos meses de dezembro e janeiro, quando está liberada a captura (IAP, 2002).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76E" w:rsidRDefault="009C776E">
    <w:pPr>
      <w:pStyle w:val="Cabealh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2754669" o:spid="_x0000_s2062" type="#_x0000_t136" style="position:absolute;left:0;text-align:left;margin-left:0;margin-top:0;width:511.55pt;height:127.85pt;rotation:315;z-index:-251630592;mso-position-horizontal:center;mso-position-horizontal-relative:margin;mso-position-vertical:center;mso-position-vertical-relative:margin" o:allowincell="f" fillcolor="silver" stroked="f">
          <v:fill opacity=".5"/>
          <v:textpath style="font-family:&quot;Arial&quot;;font-size:1pt" string="Preliminar"/>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072" w:type="dxa"/>
      <w:tblBorders>
        <w:bottom w:val="single" w:sz="4" w:space="0" w:color="auto"/>
        <w:insideH w:val="single" w:sz="4" w:space="0" w:color="auto"/>
      </w:tblBorders>
      <w:tblLook w:val="01E0" w:firstRow="1" w:lastRow="1" w:firstColumn="1" w:lastColumn="1" w:noHBand="0" w:noVBand="0"/>
    </w:tblPr>
    <w:tblGrid>
      <w:gridCol w:w="1242"/>
      <w:gridCol w:w="7830"/>
    </w:tblGrid>
    <w:tr w:rsidR="009C776E" w:rsidTr="000E1A07">
      <w:tc>
        <w:tcPr>
          <w:tcW w:w="1242" w:type="dxa"/>
          <w:vAlign w:val="center"/>
        </w:tcPr>
        <w:p w:rsidR="009C776E" w:rsidRPr="00882453" w:rsidRDefault="009C776E" w:rsidP="00E55671">
          <w:pPr>
            <w:pStyle w:val="Cabealho"/>
            <w:rPr>
              <w:noProof/>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2754670" o:spid="_x0000_s2063" type="#_x0000_t136" style="position:absolute;left:0;text-align:left;margin-left:0;margin-top:0;width:511.55pt;height:127.85pt;rotation:315;z-index:-251628544;mso-position-horizontal:center;mso-position-horizontal-relative:margin;mso-position-vertical:center;mso-position-vertical-relative:margin" o:allowincell="f" fillcolor="silver" stroked="f">
                <v:fill opacity=".5"/>
                <v:textpath style="font-family:&quot;Arial&quot;;font-size:1pt" string="Preliminar"/>
                <w10:wrap anchorx="margin" anchory="margin"/>
              </v:shape>
            </w:pict>
          </w:r>
        </w:p>
      </w:tc>
      <w:tc>
        <w:tcPr>
          <w:tcW w:w="7830" w:type="dxa"/>
          <w:vAlign w:val="center"/>
        </w:tcPr>
        <w:p w:rsidR="009C776E" w:rsidRPr="00212441" w:rsidRDefault="009C776E" w:rsidP="00E55671">
          <w:pPr>
            <w:pStyle w:val="Cabealho"/>
            <w:rPr>
              <w:noProof/>
            </w:rPr>
          </w:pPr>
        </w:p>
        <w:p w:rsidR="009C776E" w:rsidRPr="00882453" w:rsidRDefault="009C776E" w:rsidP="00E55671">
          <w:pPr>
            <w:pStyle w:val="Cabealho"/>
            <w:jc w:val="right"/>
          </w:pPr>
          <w:r w:rsidRPr="002C6321">
            <w:rPr>
              <w:noProof/>
            </w:rPr>
            <w:t xml:space="preserve">Diagnóstico de </w:t>
          </w:r>
          <w:r>
            <w:rPr>
              <w:noProof/>
            </w:rPr>
            <w:t>S</w:t>
          </w:r>
          <w:r w:rsidRPr="002C6321">
            <w:rPr>
              <w:noProof/>
            </w:rPr>
            <w:t xml:space="preserve">ubsidio ao Plano de Manejo da </w:t>
          </w:r>
          <w:r>
            <w:rPr>
              <w:noProof/>
            </w:rPr>
            <w:br/>
          </w:r>
          <w:r w:rsidRPr="002C6321">
            <w:rPr>
              <w:noProof/>
            </w:rPr>
            <w:t>APA de Guaraqueçaba</w:t>
          </w:r>
          <w:r>
            <w:rPr>
              <w:noProof/>
            </w:rPr>
            <w:t>, ESEC de Guaraqueçaba e REBIO Bom Jesus</w:t>
          </w:r>
        </w:p>
      </w:tc>
    </w:tr>
  </w:tbl>
  <w:p w:rsidR="009C776E" w:rsidRDefault="009C776E" w:rsidP="00E55671">
    <w:pPr>
      <w:pStyle w:val="Cabealh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76E" w:rsidRDefault="009C776E">
    <w:pPr>
      <w:pStyle w:val="Cabealh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2754668" o:spid="_x0000_s2061" type="#_x0000_t136" style="position:absolute;left:0;text-align:left;margin-left:0;margin-top:0;width:511.55pt;height:127.85pt;rotation:315;z-index:-251632640;mso-position-horizontal:center;mso-position-horizontal-relative:margin;mso-position-vertical:center;mso-position-vertical-relative:margin" o:allowincell="f" fillcolor="silver" stroked="f">
          <v:fill opacity=".5"/>
          <v:textpath style="font-family:&quot;Arial&quot;;font-size:1pt" string="Preliminar"/>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Num2"/>
    <w:lvl w:ilvl="0">
      <w:start w:val="1"/>
      <w:numFmt w:val="decimal"/>
      <w:lvlText w:val="%1"/>
      <w:lvlJc w:val="left"/>
      <w:pPr>
        <w:tabs>
          <w:tab w:val="num" w:pos="432"/>
        </w:tabs>
        <w:ind w:left="432" w:hanging="432"/>
      </w:pPr>
    </w:lvl>
    <w:lvl w:ilvl="1">
      <w:start w:val="1"/>
      <w:numFmt w:val="decimal"/>
      <w:lvlText w:val="%1.%2"/>
      <w:lvlJc w:val="left"/>
      <w:pPr>
        <w:tabs>
          <w:tab w:val="num" w:pos="576"/>
        </w:tabs>
        <w:ind w:left="578" w:hanging="578"/>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864" w:hanging="864"/>
      </w:pPr>
    </w:lvl>
    <w:lvl w:ilvl="4">
      <w:start w:val="1"/>
      <w:numFmt w:val="decimal"/>
      <w:lvlText w:val="%1.%2.%3.%4.%5"/>
      <w:lvlJc w:val="left"/>
      <w:pPr>
        <w:tabs>
          <w:tab w:val="num" w:pos="1440"/>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nsid w:val="00F15DE3"/>
    <w:multiLevelType w:val="multilevel"/>
    <w:tmpl w:val="1FE2713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
    <w:nsid w:val="085252A5"/>
    <w:multiLevelType w:val="multilevel"/>
    <w:tmpl w:val="9CFA909A"/>
    <w:lvl w:ilvl="0">
      <w:start w:val="1"/>
      <w:numFmt w:val="decimal"/>
      <w:pStyle w:val="TituloRel1"/>
      <w:lvlText w:val="%1"/>
      <w:lvlJc w:val="left"/>
      <w:pPr>
        <w:tabs>
          <w:tab w:val="num" w:pos="432"/>
        </w:tabs>
        <w:ind w:left="432" w:hanging="432"/>
      </w:pPr>
    </w:lvl>
    <w:lvl w:ilvl="1">
      <w:start w:val="1"/>
      <w:numFmt w:val="decimal"/>
      <w:pStyle w:val="TituloRel2"/>
      <w:lvlText w:val="%1.%2"/>
      <w:lvlJc w:val="left"/>
      <w:pPr>
        <w:tabs>
          <w:tab w:val="num" w:pos="576"/>
        </w:tabs>
        <w:ind w:left="576" w:hanging="576"/>
      </w:pPr>
    </w:lvl>
    <w:lvl w:ilvl="2">
      <w:start w:val="1"/>
      <w:numFmt w:val="decimal"/>
      <w:pStyle w:val="TituloRel3"/>
      <w:lvlText w:val="%1.%2.%3"/>
      <w:lvlJc w:val="left"/>
      <w:pPr>
        <w:tabs>
          <w:tab w:val="num" w:pos="720"/>
        </w:tabs>
        <w:ind w:left="720" w:hanging="720"/>
      </w:pPr>
    </w:lvl>
    <w:lvl w:ilvl="3">
      <w:start w:val="1"/>
      <w:numFmt w:val="decimal"/>
      <w:pStyle w:val="TituloRel4"/>
      <w:lvlText w:val="%1.%2.%3.%4"/>
      <w:lvlJc w:val="left"/>
      <w:pPr>
        <w:tabs>
          <w:tab w:val="num" w:pos="1080"/>
        </w:tabs>
        <w:ind w:left="864" w:hanging="864"/>
      </w:pPr>
    </w:lvl>
    <w:lvl w:ilvl="4">
      <w:start w:val="1"/>
      <w:numFmt w:val="decimal"/>
      <w:pStyle w:val="TituloRel4"/>
      <w:lvlText w:val="%1.%2.%3.%4.%5"/>
      <w:lvlJc w:val="left"/>
      <w:pPr>
        <w:tabs>
          <w:tab w:val="num" w:pos="1440"/>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
    <w:nsid w:val="099F3904"/>
    <w:multiLevelType w:val="hybridMultilevel"/>
    <w:tmpl w:val="7868AA3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E3C3B9B"/>
    <w:multiLevelType w:val="hybridMultilevel"/>
    <w:tmpl w:val="CBFC3ED0"/>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5">
    <w:nsid w:val="0E97653E"/>
    <w:multiLevelType w:val="multilevel"/>
    <w:tmpl w:val="DD386E7C"/>
    <w:styleLink w:val="Estilo1"/>
    <w:lvl w:ilvl="0">
      <w:start w:val="4"/>
      <w:numFmt w:val="decimal"/>
      <w:lvlText w:val="%14."/>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160F6380"/>
    <w:multiLevelType w:val="multilevel"/>
    <w:tmpl w:val="B62401D6"/>
    <w:lvl w:ilvl="0">
      <w:start w:val="1"/>
      <w:numFmt w:val="decimal"/>
      <w:pStyle w:val="Ttulo1"/>
      <w:lvlText w:val="%1."/>
      <w:lvlJc w:val="left"/>
      <w:pPr>
        <w:tabs>
          <w:tab w:val="num" w:pos="6528"/>
        </w:tabs>
        <w:ind w:left="6528" w:hanging="432"/>
      </w:pPr>
      <w:rPr>
        <w:rFonts w:hint="default"/>
      </w:rPr>
    </w:lvl>
    <w:lvl w:ilvl="1">
      <w:start w:val="1"/>
      <w:numFmt w:val="decimal"/>
      <w:pStyle w:val="Ttulo2"/>
      <w:lvlText w:val="%1.%2."/>
      <w:lvlJc w:val="left"/>
      <w:pPr>
        <w:tabs>
          <w:tab w:val="num" w:pos="860"/>
        </w:tabs>
        <w:ind w:left="860" w:hanging="576"/>
      </w:pPr>
      <w:rPr>
        <w:rFonts w:ascii="Arial" w:hAnsi="Arial" w:cs="Arial"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pStyle w:val="Ttulo3"/>
      <w:lvlText w:val="%1.%2.%3."/>
      <w:lvlJc w:val="left"/>
      <w:pPr>
        <w:tabs>
          <w:tab w:val="num" w:pos="720"/>
        </w:tabs>
        <w:ind w:left="720" w:hanging="720"/>
      </w:pPr>
      <w:rPr>
        <w:rFonts w:hint="default"/>
      </w:rPr>
    </w:lvl>
    <w:lvl w:ilvl="3">
      <w:start w:val="1"/>
      <w:numFmt w:val="decimal"/>
      <w:pStyle w:val="Ttulo4"/>
      <w:lvlText w:val="%1.%2.%3.%4."/>
      <w:lvlJc w:val="left"/>
      <w:pPr>
        <w:tabs>
          <w:tab w:val="num" w:pos="864"/>
        </w:tabs>
        <w:ind w:left="864" w:hanging="864"/>
      </w:pPr>
      <w:rPr>
        <w:rFonts w:hint="default"/>
        <w:sz w:val="24"/>
        <w:szCs w:val="24"/>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7">
    <w:nsid w:val="18273F3C"/>
    <w:multiLevelType w:val="hybridMultilevel"/>
    <w:tmpl w:val="55029A6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19057DF2"/>
    <w:multiLevelType w:val="hybridMultilevel"/>
    <w:tmpl w:val="5A5E4556"/>
    <w:lvl w:ilvl="0" w:tplc="676C15F4">
      <w:start w:val="1"/>
      <w:numFmt w:val="decimal"/>
      <w:pStyle w:val="Ttulo2CerroAzul"/>
      <w:lvlText w:val="%1."/>
      <w:lvlJc w:val="left"/>
      <w:pPr>
        <w:ind w:left="4471" w:hanging="360"/>
      </w:pPr>
      <w:rPr>
        <w:rFonts w:hint="default"/>
      </w:rPr>
    </w:lvl>
    <w:lvl w:ilvl="1" w:tplc="04160019" w:tentative="1">
      <w:start w:val="1"/>
      <w:numFmt w:val="lowerLetter"/>
      <w:lvlText w:val="%2."/>
      <w:lvlJc w:val="left"/>
      <w:pPr>
        <w:ind w:left="5191" w:hanging="360"/>
      </w:pPr>
    </w:lvl>
    <w:lvl w:ilvl="2" w:tplc="0416001B" w:tentative="1">
      <w:start w:val="1"/>
      <w:numFmt w:val="lowerRoman"/>
      <w:lvlText w:val="%3."/>
      <w:lvlJc w:val="right"/>
      <w:pPr>
        <w:ind w:left="5911" w:hanging="180"/>
      </w:pPr>
    </w:lvl>
    <w:lvl w:ilvl="3" w:tplc="0416000F" w:tentative="1">
      <w:start w:val="1"/>
      <w:numFmt w:val="decimal"/>
      <w:lvlText w:val="%4."/>
      <w:lvlJc w:val="left"/>
      <w:pPr>
        <w:ind w:left="6631" w:hanging="360"/>
      </w:pPr>
    </w:lvl>
    <w:lvl w:ilvl="4" w:tplc="04160019" w:tentative="1">
      <w:start w:val="1"/>
      <w:numFmt w:val="lowerLetter"/>
      <w:lvlText w:val="%5."/>
      <w:lvlJc w:val="left"/>
      <w:pPr>
        <w:ind w:left="7351" w:hanging="360"/>
      </w:pPr>
    </w:lvl>
    <w:lvl w:ilvl="5" w:tplc="0416001B" w:tentative="1">
      <w:start w:val="1"/>
      <w:numFmt w:val="lowerRoman"/>
      <w:lvlText w:val="%6."/>
      <w:lvlJc w:val="right"/>
      <w:pPr>
        <w:ind w:left="8071" w:hanging="180"/>
      </w:pPr>
    </w:lvl>
    <w:lvl w:ilvl="6" w:tplc="0416000F" w:tentative="1">
      <w:start w:val="1"/>
      <w:numFmt w:val="decimal"/>
      <w:lvlText w:val="%7."/>
      <w:lvlJc w:val="left"/>
      <w:pPr>
        <w:ind w:left="8791" w:hanging="360"/>
      </w:pPr>
    </w:lvl>
    <w:lvl w:ilvl="7" w:tplc="04160019" w:tentative="1">
      <w:start w:val="1"/>
      <w:numFmt w:val="lowerLetter"/>
      <w:lvlText w:val="%8."/>
      <w:lvlJc w:val="left"/>
      <w:pPr>
        <w:ind w:left="9511" w:hanging="360"/>
      </w:pPr>
    </w:lvl>
    <w:lvl w:ilvl="8" w:tplc="0416001B" w:tentative="1">
      <w:start w:val="1"/>
      <w:numFmt w:val="lowerRoman"/>
      <w:lvlText w:val="%9."/>
      <w:lvlJc w:val="right"/>
      <w:pPr>
        <w:ind w:left="10231" w:hanging="180"/>
      </w:pPr>
    </w:lvl>
  </w:abstractNum>
  <w:abstractNum w:abstractNumId="9">
    <w:nsid w:val="1B901503"/>
    <w:multiLevelType w:val="hybridMultilevel"/>
    <w:tmpl w:val="B2A4C1DE"/>
    <w:lvl w:ilvl="0" w:tplc="04160005">
      <w:start w:val="1"/>
      <w:numFmt w:val="bullet"/>
      <w:lvlText w:val=""/>
      <w:lvlJc w:val="left"/>
      <w:pPr>
        <w:tabs>
          <w:tab w:val="num" w:pos="1429"/>
        </w:tabs>
        <w:ind w:left="1429" w:hanging="360"/>
      </w:pPr>
      <w:rPr>
        <w:rFonts w:ascii="Wingdings" w:hAnsi="Wingdings" w:hint="default"/>
      </w:rPr>
    </w:lvl>
    <w:lvl w:ilvl="1" w:tplc="04160003" w:tentative="1">
      <w:start w:val="1"/>
      <w:numFmt w:val="bullet"/>
      <w:lvlText w:val="o"/>
      <w:lvlJc w:val="left"/>
      <w:pPr>
        <w:tabs>
          <w:tab w:val="num" w:pos="2149"/>
        </w:tabs>
        <w:ind w:left="2149" w:hanging="360"/>
      </w:pPr>
      <w:rPr>
        <w:rFonts w:ascii="Courier New" w:hAnsi="Courier New" w:hint="default"/>
      </w:rPr>
    </w:lvl>
    <w:lvl w:ilvl="2" w:tplc="04160005" w:tentative="1">
      <w:start w:val="1"/>
      <w:numFmt w:val="bullet"/>
      <w:lvlText w:val=""/>
      <w:lvlJc w:val="left"/>
      <w:pPr>
        <w:tabs>
          <w:tab w:val="num" w:pos="2869"/>
        </w:tabs>
        <w:ind w:left="2869" w:hanging="360"/>
      </w:pPr>
      <w:rPr>
        <w:rFonts w:ascii="Wingdings" w:hAnsi="Wingdings" w:hint="default"/>
      </w:rPr>
    </w:lvl>
    <w:lvl w:ilvl="3" w:tplc="04160001" w:tentative="1">
      <w:start w:val="1"/>
      <w:numFmt w:val="bullet"/>
      <w:lvlText w:val=""/>
      <w:lvlJc w:val="left"/>
      <w:pPr>
        <w:tabs>
          <w:tab w:val="num" w:pos="3589"/>
        </w:tabs>
        <w:ind w:left="3589" w:hanging="360"/>
      </w:pPr>
      <w:rPr>
        <w:rFonts w:ascii="Symbol" w:hAnsi="Symbol" w:hint="default"/>
      </w:rPr>
    </w:lvl>
    <w:lvl w:ilvl="4" w:tplc="04160003" w:tentative="1">
      <w:start w:val="1"/>
      <w:numFmt w:val="bullet"/>
      <w:lvlText w:val="o"/>
      <w:lvlJc w:val="left"/>
      <w:pPr>
        <w:tabs>
          <w:tab w:val="num" w:pos="4309"/>
        </w:tabs>
        <w:ind w:left="4309" w:hanging="360"/>
      </w:pPr>
      <w:rPr>
        <w:rFonts w:ascii="Courier New" w:hAnsi="Courier New" w:hint="default"/>
      </w:rPr>
    </w:lvl>
    <w:lvl w:ilvl="5" w:tplc="04160005" w:tentative="1">
      <w:start w:val="1"/>
      <w:numFmt w:val="bullet"/>
      <w:lvlText w:val=""/>
      <w:lvlJc w:val="left"/>
      <w:pPr>
        <w:tabs>
          <w:tab w:val="num" w:pos="5029"/>
        </w:tabs>
        <w:ind w:left="5029" w:hanging="360"/>
      </w:pPr>
      <w:rPr>
        <w:rFonts w:ascii="Wingdings" w:hAnsi="Wingdings" w:hint="default"/>
      </w:rPr>
    </w:lvl>
    <w:lvl w:ilvl="6" w:tplc="04160001" w:tentative="1">
      <w:start w:val="1"/>
      <w:numFmt w:val="bullet"/>
      <w:lvlText w:val=""/>
      <w:lvlJc w:val="left"/>
      <w:pPr>
        <w:tabs>
          <w:tab w:val="num" w:pos="5749"/>
        </w:tabs>
        <w:ind w:left="5749" w:hanging="360"/>
      </w:pPr>
      <w:rPr>
        <w:rFonts w:ascii="Symbol" w:hAnsi="Symbol" w:hint="default"/>
      </w:rPr>
    </w:lvl>
    <w:lvl w:ilvl="7" w:tplc="04160003" w:tentative="1">
      <w:start w:val="1"/>
      <w:numFmt w:val="bullet"/>
      <w:lvlText w:val="o"/>
      <w:lvlJc w:val="left"/>
      <w:pPr>
        <w:tabs>
          <w:tab w:val="num" w:pos="6469"/>
        </w:tabs>
        <w:ind w:left="6469" w:hanging="360"/>
      </w:pPr>
      <w:rPr>
        <w:rFonts w:ascii="Courier New" w:hAnsi="Courier New" w:hint="default"/>
      </w:rPr>
    </w:lvl>
    <w:lvl w:ilvl="8" w:tplc="04160005" w:tentative="1">
      <w:start w:val="1"/>
      <w:numFmt w:val="bullet"/>
      <w:lvlText w:val=""/>
      <w:lvlJc w:val="left"/>
      <w:pPr>
        <w:tabs>
          <w:tab w:val="num" w:pos="7189"/>
        </w:tabs>
        <w:ind w:left="7189" w:hanging="360"/>
      </w:pPr>
      <w:rPr>
        <w:rFonts w:ascii="Wingdings" w:hAnsi="Wingdings" w:hint="default"/>
      </w:rPr>
    </w:lvl>
  </w:abstractNum>
  <w:abstractNum w:abstractNumId="10">
    <w:nsid w:val="1F3917A7"/>
    <w:multiLevelType w:val="hybridMultilevel"/>
    <w:tmpl w:val="7786E74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24771D2F"/>
    <w:multiLevelType w:val="hybridMultilevel"/>
    <w:tmpl w:val="9AC0469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2E5F24CD"/>
    <w:multiLevelType w:val="hybridMultilevel"/>
    <w:tmpl w:val="4DD0A528"/>
    <w:lvl w:ilvl="0" w:tplc="C59A4FE8">
      <w:start w:val="1"/>
      <w:numFmt w:val="lowerLetter"/>
      <w:lvlText w:val="%1)"/>
      <w:lvlJc w:val="left"/>
      <w:pPr>
        <w:ind w:left="349" w:hanging="360"/>
      </w:pPr>
      <w:rPr>
        <w:rFonts w:hint="default"/>
        <w:b/>
      </w:rPr>
    </w:lvl>
    <w:lvl w:ilvl="1" w:tplc="C948559A" w:tentative="1">
      <w:start w:val="1"/>
      <w:numFmt w:val="lowerLetter"/>
      <w:lvlText w:val="%2."/>
      <w:lvlJc w:val="left"/>
      <w:pPr>
        <w:ind w:left="1069" w:hanging="360"/>
      </w:pPr>
    </w:lvl>
    <w:lvl w:ilvl="2" w:tplc="49D282C4" w:tentative="1">
      <w:start w:val="1"/>
      <w:numFmt w:val="lowerRoman"/>
      <w:lvlText w:val="%3."/>
      <w:lvlJc w:val="right"/>
      <w:pPr>
        <w:ind w:left="1789" w:hanging="180"/>
      </w:pPr>
    </w:lvl>
    <w:lvl w:ilvl="3" w:tplc="1C88FE0C" w:tentative="1">
      <w:start w:val="1"/>
      <w:numFmt w:val="decimal"/>
      <w:lvlText w:val="%4."/>
      <w:lvlJc w:val="left"/>
      <w:pPr>
        <w:ind w:left="2509" w:hanging="360"/>
      </w:pPr>
    </w:lvl>
    <w:lvl w:ilvl="4" w:tplc="B840EF64" w:tentative="1">
      <w:start w:val="1"/>
      <w:numFmt w:val="lowerLetter"/>
      <w:lvlText w:val="%5."/>
      <w:lvlJc w:val="left"/>
      <w:pPr>
        <w:ind w:left="3229" w:hanging="360"/>
      </w:pPr>
    </w:lvl>
    <w:lvl w:ilvl="5" w:tplc="56627308" w:tentative="1">
      <w:start w:val="1"/>
      <w:numFmt w:val="lowerRoman"/>
      <w:lvlText w:val="%6."/>
      <w:lvlJc w:val="right"/>
      <w:pPr>
        <w:ind w:left="3949" w:hanging="180"/>
      </w:pPr>
    </w:lvl>
    <w:lvl w:ilvl="6" w:tplc="8B548926" w:tentative="1">
      <w:start w:val="1"/>
      <w:numFmt w:val="decimal"/>
      <w:lvlText w:val="%7."/>
      <w:lvlJc w:val="left"/>
      <w:pPr>
        <w:ind w:left="4669" w:hanging="360"/>
      </w:pPr>
    </w:lvl>
    <w:lvl w:ilvl="7" w:tplc="E22C4618" w:tentative="1">
      <w:start w:val="1"/>
      <w:numFmt w:val="lowerLetter"/>
      <w:lvlText w:val="%8."/>
      <w:lvlJc w:val="left"/>
      <w:pPr>
        <w:ind w:left="5389" w:hanging="360"/>
      </w:pPr>
    </w:lvl>
    <w:lvl w:ilvl="8" w:tplc="8C5E9556" w:tentative="1">
      <w:start w:val="1"/>
      <w:numFmt w:val="lowerRoman"/>
      <w:lvlText w:val="%9."/>
      <w:lvlJc w:val="right"/>
      <w:pPr>
        <w:ind w:left="6109" w:hanging="180"/>
      </w:pPr>
    </w:lvl>
  </w:abstractNum>
  <w:abstractNum w:abstractNumId="13">
    <w:nsid w:val="2FF50A45"/>
    <w:multiLevelType w:val="hybridMultilevel"/>
    <w:tmpl w:val="784A320C"/>
    <w:lvl w:ilvl="0" w:tplc="AD8C5978">
      <w:start w:val="1"/>
      <w:numFmt w:val="decimal"/>
      <w:lvlText w:val="%1."/>
      <w:lvlJc w:val="left"/>
      <w:pPr>
        <w:ind w:left="720" w:hanging="360"/>
      </w:pPr>
    </w:lvl>
    <w:lvl w:ilvl="1" w:tplc="AE1E5624" w:tentative="1">
      <w:start w:val="1"/>
      <w:numFmt w:val="lowerLetter"/>
      <w:lvlText w:val="%2."/>
      <w:lvlJc w:val="left"/>
      <w:pPr>
        <w:ind w:left="1440" w:hanging="360"/>
      </w:pPr>
    </w:lvl>
    <w:lvl w:ilvl="2" w:tplc="2C0E6406" w:tentative="1">
      <w:start w:val="1"/>
      <w:numFmt w:val="lowerRoman"/>
      <w:lvlText w:val="%3."/>
      <w:lvlJc w:val="right"/>
      <w:pPr>
        <w:ind w:left="2160" w:hanging="180"/>
      </w:pPr>
    </w:lvl>
    <w:lvl w:ilvl="3" w:tplc="A5A8A85C" w:tentative="1">
      <w:start w:val="1"/>
      <w:numFmt w:val="decimal"/>
      <w:lvlText w:val="%4."/>
      <w:lvlJc w:val="left"/>
      <w:pPr>
        <w:ind w:left="2880" w:hanging="360"/>
      </w:pPr>
    </w:lvl>
    <w:lvl w:ilvl="4" w:tplc="7826A62A" w:tentative="1">
      <w:start w:val="1"/>
      <w:numFmt w:val="lowerLetter"/>
      <w:lvlText w:val="%5."/>
      <w:lvlJc w:val="left"/>
      <w:pPr>
        <w:ind w:left="3600" w:hanging="360"/>
      </w:pPr>
    </w:lvl>
    <w:lvl w:ilvl="5" w:tplc="33603622" w:tentative="1">
      <w:start w:val="1"/>
      <w:numFmt w:val="lowerRoman"/>
      <w:lvlText w:val="%6."/>
      <w:lvlJc w:val="right"/>
      <w:pPr>
        <w:ind w:left="4320" w:hanging="180"/>
      </w:pPr>
    </w:lvl>
    <w:lvl w:ilvl="6" w:tplc="4664CA00" w:tentative="1">
      <w:start w:val="1"/>
      <w:numFmt w:val="decimal"/>
      <w:lvlText w:val="%7."/>
      <w:lvlJc w:val="left"/>
      <w:pPr>
        <w:ind w:left="5040" w:hanging="360"/>
      </w:pPr>
    </w:lvl>
    <w:lvl w:ilvl="7" w:tplc="E65030F6" w:tentative="1">
      <w:start w:val="1"/>
      <w:numFmt w:val="lowerLetter"/>
      <w:lvlText w:val="%8."/>
      <w:lvlJc w:val="left"/>
      <w:pPr>
        <w:ind w:left="5760" w:hanging="360"/>
      </w:pPr>
    </w:lvl>
    <w:lvl w:ilvl="8" w:tplc="C92E8D42" w:tentative="1">
      <w:start w:val="1"/>
      <w:numFmt w:val="lowerRoman"/>
      <w:lvlText w:val="%9."/>
      <w:lvlJc w:val="right"/>
      <w:pPr>
        <w:ind w:left="6480" w:hanging="180"/>
      </w:pPr>
    </w:lvl>
  </w:abstractNum>
  <w:abstractNum w:abstractNumId="14">
    <w:nsid w:val="3E835A6B"/>
    <w:multiLevelType w:val="hybridMultilevel"/>
    <w:tmpl w:val="089C8598"/>
    <w:lvl w:ilvl="0" w:tplc="77101C24">
      <w:start w:val="1"/>
      <w:numFmt w:val="lowerLetter"/>
      <w:lvlText w:val="%1)"/>
      <w:lvlJc w:val="left"/>
      <w:pPr>
        <w:ind w:left="720" w:hanging="360"/>
      </w:pPr>
      <w:rPr>
        <w:rFonts w:hint="default"/>
        <w:b/>
      </w:rPr>
    </w:lvl>
    <w:lvl w:ilvl="1" w:tplc="392CD7D6" w:tentative="1">
      <w:start w:val="1"/>
      <w:numFmt w:val="lowerLetter"/>
      <w:lvlText w:val="%2."/>
      <w:lvlJc w:val="left"/>
      <w:pPr>
        <w:ind w:left="1440" w:hanging="360"/>
      </w:pPr>
    </w:lvl>
    <w:lvl w:ilvl="2" w:tplc="A9161BAE">
      <w:start w:val="1"/>
      <w:numFmt w:val="lowerRoman"/>
      <w:lvlText w:val="%3."/>
      <w:lvlJc w:val="right"/>
      <w:pPr>
        <w:ind w:left="2160" w:hanging="180"/>
      </w:pPr>
    </w:lvl>
    <w:lvl w:ilvl="3" w:tplc="5BE6DCB8" w:tentative="1">
      <w:start w:val="1"/>
      <w:numFmt w:val="decimal"/>
      <w:lvlText w:val="%4."/>
      <w:lvlJc w:val="left"/>
      <w:pPr>
        <w:ind w:left="2880" w:hanging="360"/>
      </w:pPr>
    </w:lvl>
    <w:lvl w:ilvl="4" w:tplc="FC5E39C8" w:tentative="1">
      <w:start w:val="1"/>
      <w:numFmt w:val="lowerLetter"/>
      <w:lvlText w:val="%5."/>
      <w:lvlJc w:val="left"/>
      <w:pPr>
        <w:ind w:left="3600" w:hanging="360"/>
      </w:pPr>
    </w:lvl>
    <w:lvl w:ilvl="5" w:tplc="1CE266C0" w:tentative="1">
      <w:start w:val="1"/>
      <w:numFmt w:val="lowerRoman"/>
      <w:lvlText w:val="%6."/>
      <w:lvlJc w:val="right"/>
      <w:pPr>
        <w:ind w:left="4320" w:hanging="180"/>
      </w:pPr>
    </w:lvl>
    <w:lvl w:ilvl="6" w:tplc="6B1EDFDC" w:tentative="1">
      <w:start w:val="1"/>
      <w:numFmt w:val="decimal"/>
      <w:lvlText w:val="%7."/>
      <w:lvlJc w:val="left"/>
      <w:pPr>
        <w:ind w:left="5040" w:hanging="360"/>
      </w:pPr>
    </w:lvl>
    <w:lvl w:ilvl="7" w:tplc="7EDC331C" w:tentative="1">
      <w:start w:val="1"/>
      <w:numFmt w:val="lowerLetter"/>
      <w:lvlText w:val="%8."/>
      <w:lvlJc w:val="left"/>
      <w:pPr>
        <w:ind w:left="5760" w:hanging="360"/>
      </w:pPr>
    </w:lvl>
    <w:lvl w:ilvl="8" w:tplc="1D8246A6" w:tentative="1">
      <w:start w:val="1"/>
      <w:numFmt w:val="lowerRoman"/>
      <w:lvlText w:val="%9."/>
      <w:lvlJc w:val="right"/>
      <w:pPr>
        <w:ind w:left="6480" w:hanging="180"/>
      </w:pPr>
    </w:lvl>
  </w:abstractNum>
  <w:abstractNum w:abstractNumId="15">
    <w:nsid w:val="3ED239EE"/>
    <w:multiLevelType w:val="hybridMultilevel"/>
    <w:tmpl w:val="3F5AB93A"/>
    <w:lvl w:ilvl="0" w:tplc="04160017">
      <w:start w:val="1"/>
      <w:numFmt w:val="bullet"/>
      <w:lvlText w:val=""/>
      <w:lvlJc w:val="left"/>
      <w:pPr>
        <w:ind w:left="720" w:hanging="360"/>
      </w:pPr>
      <w:rPr>
        <w:rFonts w:ascii="Symbol" w:hAnsi="Symbol"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6">
    <w:nsid w:val="44455759"/>
    <w:multiLevelType w:val="hybridMultilevel"/>
    <w:tmpl w:val="A12477C2"/>
    <w:lvl w:ilvl="0" w:tplc="4D4025EE">
      <w:start w:val="2"/>
      <w:numFmt w:val="upperLetter"/>
      <w:lvlText w:val="%1)"/>
      <w:lvlJc w:val="left"/>
      <w:pPr>
        <w:ind w:left="720" w:hanging="360"/>
      </w:pPr>
      <w:rPr>
        <w:rFonts w:eastAsia="Times New Roman"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47DE4177"/>
    <w:multiLevelType w:val="hybridMultilevel"/>
    <w:tmpl w:val="7C2645C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nsid w:val="4E5F469D"/>
    <w:multiLevelType w:val="multilevel"/>
    <w:tmpl w:val="76309B7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9">
    <w:nsid w:val="592779A9"/>
    <w:multiLevelType w:val="hybridMultilevel"/>
    <w:tmpl w:val="4AD2C202"/>
    <w:lvl w:ilvl="0" w:tplc="0416000F">
      <w:start w:val="1"/>
      <w:numFmt w:val="bullet"/>
      <w:lvlText w:val=""/>
      <w:lvlJc w:val="left"/>
      <w:pPr>
        <w:ind w:left="720" w:hanging="360"/>
      </w:pPr>
      <w:rPr>
        <w:rFonts w:ascii="Symbol" w:hAnsi="Symbol"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20">
    <w:nsid w:val="5AA53B52"/>
    <w:multiLevelType w:val="hybridMultilevel"/>
    <w:tmpl w:val="D9B0EBE2"/>
    <w:lvl w:ilvl="0" w:tplc="04160005">
      <w:start w:val="1"/>
      <w:numFmt w:val="lowerLetter"/>
      <w:lvlText w:val="%1)"/>
      <w:lvlJc w:val="left"/>
      <w:pPr>
        <w:ind w:left="1571" w:hanging="360"/>
      </w:pPr>
    </w:lvl>
    <w:lvl w:ilvl="1" w:tplc="04160003" w:tentative="1">
      <w:start w:val="1"/>
      <w:numFmt w:val="lowerLetter"/>
      <w:lvlText w:val="%2."/>
      <w:lvlJc w:val="left"/>
      <w:pPr>
        <w:ind w:left="2291" w:hanging="360"/>
      </w:pPr>
    </w:lvl>
    <w:lvl w:ilvl="2" w:tplc="04160005" w:tentative="1">
      <w:start w:val="1"/>
      <w:numFmt w:val="lowerRoman"/>
      <w:lvlText w:val="%3."/>
      <w:lvlJc w:val="right"/>
      <w:pPr>
        <w:ind w:left="3011" w:hanging="180"/>
      </w:pPr>
    </w:lvl>
    <w:lvl w:ilvl="3" w:tplc="04160001" w:tentative="1">
      <w:start w:val="1"/>
      <w:numFmt w:val="decimal"/>
      <w:lvlText w:val="%4."/>
      <w:lvlJc w:val="left"/>
      <w:pPr>
        <w:ind w:left="3731" w:hanging="360"/>
      </w:pPr>
    </w:lvl>
    <w:lvl w:ilvl="4" w:tplc="04160003" w:tentative="1">
      <w:start w:val="1"/>
      <w:numFmt w:val="lowerLetter"/>
      <w:lvlText w:val="%5."/>
      <w:lvlJc w:val="left"/>
      <w:pPr>
        <w:ind w:left="4451" w:hanging="360"/>
      </w:pPr>
    </w:lvl>
    <w:lvl w:ilvl="5" w:tplc="04160005" w:tentative="1">
      <w:start w:val="1"/>
      <w:numFmt w:val="lowerRoman"/>
      <w:lvlText w:val="%6."/>
      <w:lvlJc w:val="right"/>
      <w:pPr>
        <w:ind w:left="5171" w:hanging="180"/>
      </w:pPr>
    </w:lvl>
    <w:lvl w:ilvl="6" w:tplc="04160001" w:tentative="1">
      <w:start w:val="1"/>
      <w:numFmt w:val="decimal"/>
      <w:lvlText w:val="%7."/>
      <w:lvlJc w:val="left"/>
      <w:pPr>
        <w:ind w:left="5891" w:hanging="360"/>
      </w:pPr>
    </w:lvl>
    <w:lvl w:ilvl="7" w:tplc="04160003" w:tentative="1">
      <w:start w:val="1"/>
      <w:numFmt w:val="lowerLetter"/>
      <w:lvlText w:val="%8."/>
      <w:lvlJc w:val="left"/>
      <w:pPr>
        <w:ind w:left="6611" w:hanging="360"/>
      </w:pPr>
    </w:lvl>
    <w:lvl w:ilvl="8" w:tplc="04160005" w:tentative="1">
      <w:start w:val="1"/>
      <w:numFmt w:val="lowerRoman"/>
      <w:lvlText w:val="%9."/>
      <w:lvlJc w:val="right"/>
      <w:pPr>
        <w:ind w:left="7331" w:hanging="180"/>
      </w:pPr>
    </w:lvl>
  </w:abstractNum>
  <w:abstractNum w:abstractNumId="21">
    <w:nsid w:val="5DE324C2"/>
    <w:multiLevelType w:val="multilevel"/>
    <w:tmpl w:val="0416001F"/>
    <w:styleLink w:val="Estilo2"/>
    <w:lvl w:ilvl="0">
      <w:start w:val="4"/>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60EF6C38"/>
    <w:multiLevelType w:val="hybridMultilevel"/>
    <w:tmpl w:val="F59C0C4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63D8143C"/>
    <w:multiLevelType w:val="hybridMultilevel"/>
    <w:tmpl w:val="C73247CE"/>
    <w:lvl w:ilvl="0" w:tplc="D3A86B88">
      <w:start w:val="1"/>
      <w:numFmt w:val="bullet"/>
      <w:pStyle w:val="Marcador"/>
      <w:lvlText w:val=""/>
      <w:lvlJc w:val="left"/>
      <w:pPr>
        <w:tabs>
          <w:tab w:val="num" w:pos="927"/>
        </w:tabs>
        <w:ind w:left="927" w:hanging="360"/>
      </w:pPr>
      <w:rPr>
        <w:rFonts w:ascii="Symbol" w:hAnsi="Symbol" w:hint="default"/>
      </w:rPr>
    </w:lvl>
    <w:lvl w:ilvl="1" w:tplc="A6E641E6">
      <w:numFmt w:val="bullet"/>
      <w:lvlText w:val="-"/>
      <w:lvlJc w:val="left"/>
      <w:pPr>
        <w:tabs>
          <w:tab w:val="num" w:pos="2149"/>
        </w:tabs>
        <w:ind w:left="2149" w:hanging="360"/>
      </w:pPr>
      <w:rPr>
        <w:rFonts w:ascii="Times New Roman" w:eastAsia="Times New Roman" w:hAnsi="Times New Roman" w:cs="Times New Roman" w:hint="default"/>
      </w:rPr>
    </w:lvl>
    <w:lvl w:ilvl="2" w:tplc="81B6ABB8" w:tentative="1">
      <w:start w:val="1"/>
      <w:numFmt w:val="bullet"/>
      <w:lvlText w:val=""/>
      <w:lvlJc w:val="left"/>
      <w:pPr>
        <w:tabs>
          <w:tab w:val="num" w:pos="2869"/>
        </w:tabs>
        <w:ind w:left="2869" w:hanging="360"/>
      </w:pPr>
      <w:rPr>
        <w:rFonts w:ascii="Wingdings" w:hAnsi="Wingdings" w:hint="default"/>
      </w:rPr>
    </w:lvl>
    <w:lvl w:ilvl="3" w:tplc="2E5E2068" w:tentative="1">
      <w:start w:val="1"/>
      <w:numFmt w:val="bullet"/>
      <w:lvlText w:val=""/>
      <w:lvlJc w:val="left"/>
      <w:pPr>
        <w:tabs>
          <w:tab w:val="num" w:pos="3589"/>
        </w:tabs>
        <w:ind w:left="3589" w:hanging="360"/>
      </w:pPr>
      <w:rPr>
        <w:rFonts w:ascii="Symbol" w:hAnsi="Symbol" w:hint="default"/>
      </w:rPr>
    </w:lvl>
    <w:lvl w:ilvl="4" w:tplc="AA38CF06" w:tentative="1">
      <w:start w:val="1"/>
      <w:numFmt w:val="bullet"/>
      <w:lvlText w:val="o"/>
      <w:lvlJc w:val="left"/>
      <w:pPr>
        <w:tabs>
          <w:tab w:val="num" w:pos="4309"/>
        </w:tabs>
        <w:ind w:left="4309" w:hanging="360"/>
      </w:pPr>
      <w:rPr>
        <w:rFonts w:ascii="Courier New" w:hAnsi="Courier New" w:hint="default"/>
      </w:rPr>
    </w:lvl>
    <w:lvl w:ilvl="5" w:tplc="A1441938" w:tentative="1">
      <w:start w:val="1"/>
      <w:numFmt w:val="bullet"/>
      <w:lvlText w:val=""/>
      <w:lvlJc w:val="left"/>
      <w:pPr>
        <w:tabs>
          <w:tab w:val="num" w:pos="5029"/>
        </w:tabs>
        <w:ind w:left="5029" w:hanging="360"/>
      </w:pPr>
      <w:rPr>
        <w:rFonts w:ascii="Wingdings" w:hAnsi="Wingdings" w:hint="default"/>
      </w:rPr>
    </w:lvl>
    <w:lvl w:ilvl="6" w:tplc="C7B63F0A" w:tentative="1">
      <w:start w:val="1"/>
      <w:numFmt w:val="bullet"/>
      <w:lvlText w:val=""/>
      <w:lvlJc w:val="left"/>
      <w:pPr>
        <w:tabs>
          <w:tab w:val="num" w:pos="5749"/>
        </w:tabs>
        <w:ind w:left="5749" w:hanging="360"/>
      </w:pPr>
      <w:rPr>
        <w:rFonts w:ascii="Symbol" w:hAnsi="Symbol" w:hint="default"/>
      </w:rPr>
    </w:lvl>
    <w:lvl w:ilvl="7" w:tplc="F6C6C8BE" w:tentative="1">
      <w:start w:val="1"/>
      <w:numFmt w:val="bullet"/>
      <w:lvlText w:val="o"/>
      <w:lvlJc w:val="left"/>
      <w:pPr>
        <w:tabs>
          <w:tab w:val="num" w:pos="6469"/>
        </w:tabs>
        <w:ind w:left="6469" w:hanging="360"/>
      </w:pPr>
      <w:rPr>
        <w:rFonts w:ascii="Courier New" w:hAnsi="Courier New" w:hint="default"/>
      </w:rPr>
    </w:lvl>
    <w:lvl w:ilvl="8" w:tplc="DBFA8D12" w:tentative="1">
      <w:start w:val="1"/>
      <w:numFmt w:val="bullet"/>
      <w:lvlText w:val=""/>
      <w:lvlJc w:val="left"/>
      <w:pPr>
        <w:tabs>
          <w:tab w:val="num" w:pos="7189"/>
        </w:tabs>
        <w:ind w:left="7189" w:hanging="360"/>
      </w:pPr>
      <w:rPr>
        <w:rFonts w:ascii="Wingdings" w:hAnsi="Wingdings" w:hint="default"/>
      </w:rPr>
    </w:lvl>
  </w:abstractNum>
  <w:abstractNum w:abstractNumId="24">
    <w:nsid w:val="6961732F"/>
    <w:multiLevelType w:val="hybridMultilevel"/>
    <w:tmpl w:val="5D8070F4"/>
    <w:lvl w:ilvl="0" w:tplc="6220D970">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6D3D0C50"/>
    <w:multiLevelType w:val="hybridMultilevel"/>
    <w:tmpl w:val="1CB6F1A2"/>
    <w:lvl w:ilvl="0" w:tplc="0416000F">
      <w:start w:val="1"/>
      <w:numFmt w:val="bullet"/>
      <w:lvlText w:val=""/>
      <w:lvlJc w:val="left"/>
      <w:pPr>
        <w:ind w:left="720" w:hanging="360"/>
      </w:pPr>
      <w:rPr>
        <w:rFonts w:ascii="Symbol" w:hAnsi="Symbol"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26">
    <w:nsid w:val="71034684"/>
    <w:multiLevelType w:val="hybridMultilevel"/>
    <w:tmpl w:val="CE1EEF6C"/>
    <w:lvl w:ilvl="0" w:tplc="35209464">
      <w:start w:val="1"/>
      <w:numFmt w:val="lowerLetter"/>
      <w:lvlText w:val="%1)"/>
      <w:lvlJc w:val="left"/>
      <w:pPr>
        <w:ind w:left="349" w:hanging="360"/>
      </w:pPr>
      <w:rPr>
        <w:rFonts w:hint="default"/>
        <w:b/>
        <w:sz w:val="20"/>
      </w:rPr>
    </w:lvl>
    <w:lvl w:ilvl="1" w:tplc="26F026D4" w:tentative="1">
      <w:start w:val="1"/>
      <w:numFmt w:val="lowerLetter"/>
      <w:lvlText w:val="%2."/>
      <w:lvlJc w:val="left"/>
      <w:pPr>
        <w:ind w:left="1069" w:hanging="360"/>
      </w:pPr>
    </w:lvl>
    <w:lvl w:ilvl="2" w:tplc="105868FA" w:tentative="1">
      <w:start w:val="1"/>
      <w:numFmt w:val="lowerRoman"/>
      <w:lvlText w:val="%3."/>
      <w:lvlJc w:val="right"/>
      <w:pPr>
        <w:ind w:left="1789" w:hanging="180"/>
      </w:pPr>
    </w:lvl>
    <w:lvl w:ilvl="3" w:tplc="DA0ED7AA" w:tentative="1">
      <w:start w:val="1"/>
      <w:numFmt w:val="decimal"/>
      <w:lvlText w:val="%4."/>
      <w:lvlJc w:val="left"/>
      <w:pPr>
        <w:ind w:left="2509" w:hanging="360"/>
      </w:pPr>
    </w:lvl>
    <w:lvl w:ilvl="4" w:tplc="23B41C04" w:tentative="1">
      <w:start w:val="1"/>
      <w:numFmt w:val="lowerLetter"/>
      <w:lvlText w:val="%5."/>
      <w:lvlJc w:val="left"/>
      <w:pPr>
        <w:ind w:left="3229" w:hanging="360"/>
      </w:pPr>
    </w:lvl>
    <w:lvl w:ilvl="5" w:tplc="1980AB1A" w:tentative="1">
      <w:start w:val="1"/>
      <w:numFmt w:val="lowerRoman"/>
      <w:lvlText w:val="%6."/>
      <w:lvlJc w:val="right"/>
      <w:pPr>
        <w:ind w:left="3949" w:hanging="180"/>
      </w:pPr>
    </w:lvl>
    <w:lvl w:ilvl="6" w:tplc="7E60CCBA" w:tentative="1">
      <w:start w:val="1"/>
      <w:numFmt w:val="decimal"/>
      <w:lvlText w:val="%7."/>
      <w:lvlJc w:val="left"/>
      <w:pPr>
        <w:ind w:left="4669" w:hanging="360"/>
      </w:pPr>
    </w:lvl>
    <w:lvl w:ilvl="7" w:tplc="78D4F176" w:tentative="1">
      <w:start w:val="1"/>
      <w:numFmt w:val="lowerLetter"/>
      <w:lvlText w:val="%8."/>
      <w:lvlJc w:val="left"/>
      <w:pPr>
        <w:ind w:left="5389" w:hanging="360"/>
      </w:pPr>
    </w:lvl>
    <w:lvl w:ilvl="8" w:tplc="F83A5D02" w:tentative="1">
      <w:start w:val="1"/>
      <w:numFmt w:val="lowerRoman"/>
      <w:lvlText w:val="%9."/>
      <w:lvlJc w:val="right"/>
      <w:pPr>
        <w:ind w:left="6109" w:hanging="180"/>
      </w:pPr>
    </w:lvl>
  </w:abstractNum>
  <w:abstractNum w:abstractNumId="27">
    <w:nsid w:val="77FA7868"/>
    <w:multiLevelType w:val="hybridMultilevel"/>
    <w:tmpl w:val="F092D7C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nsid w:val="7B320860"/>
    <w:multiLevelType w:val="hybridMultilevel"/>
    <w:tmpl w:val="10D631C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nsid w:val="7E332E76"/>
    <w:multiLevelType w:val="hybridMultilevel"/>
    <w:tmpl w:val="44E09B92"/>
    <w:lvl w:ilvl="0" w:tplc="A13AB268">
      <w:start w:val="1"/>
      <w:numFmt w:val="bullet"/>
      <w:lvlText w:val="•"/>
      <w:lvlJc w:val="left"/>
      <w:pPr>
        <w:tabs>
          <w:tab w:val="num" w:pos="720"/>
        </w:tabs>
        <w:ind w:left="720" w:hanging="360"/>
      </w:pPr>
      <w:rPr>
        <w:rFonts w:ascii="Arial" w:hAnsi="Arial" w:hint="default"/>
      </w:rPr>
    </w:lvl>
    <w:lvl w:ilvl="1" w:tplc="E14EECA2" w:tentative="1">
      <w:start w:val="1"/>
      <w:numFmt w:val="bullet"/>
      <w:lvlText w:val="•"/>
      <w:lvlJc w:val="left"/>
      <w:pPr>
        <w:tabs>
          <w:tab w:val="num" w:pos="1440"/>
        </w:tabs>
        <w:ind w:left="1440" w:hanging="360"/>
      </w:pPr>
      <w:rPr>
        <w:rFonts w:ascii="Arial" w:hAnsi="Arial" w:hint="default"/>
      </w:rPr>
    </w:lvl>
    <w:lvl w:ilvl="2" w:tplc="AE600846" w:tentative="1">
      <w:start w:val="1"/>
      <w:numFmt w:val="bullet"/>
      <w:lvlText w:val="•"/>
      <w:lvlJc w:val="left"/>
      <w:pPr>
        <w:tabs>
          <w:tab w:val="num" w:pos="2160"/>
        </w:tabs>
        <w:ind w:left="2160" w:hanging="360"/>
      </w:pPr>
      <w:rPr>
        <w:rFonts w:ascii="Arial" w:hAnsi="Arial" w:hint="default"/>
      </w:rPr>
    </w:lvl>
    <w:lvl w:ilvl="3" w:tplc="A4525DF4" w:tentative="1">
      <w:start w:val="1"/>
      <w:numFmt w:val="bullet"/>
      <w:lvlText w:val="•"/>
      <w:lvlJc w:val="left"/>
      <w:pPr>
        <w:tabs>
          <w:tab w:val="num" w:pos="2880"/>
        </w:tabs>
        <w:ind w:left="2880" w:hanging="360"/>
      </w:pPr>
      <w:rPr>
        <w:rFonts w:ascii="Arial" w:hAnsi="Arial" w:hint="default"/>
      </w:rPr>
    </w:lvl>
    <w:lvl w:ilvl="4" w:tplc="CF2EC0E4" w:tentative="1">
      <w:start w:val="1"/>
      <w:numFmt w:val="bullet"/>
      <w:lvlText w:val="•"/>
      <w:lvlJc w:val="left"/>
      <w:pPr>
        <w:tabs>
          <w:tab w:val="num" w:pos="3600"/>
        </w:tabs>
        <w:ind w:left="3600" w:hanging="360"/>
      </w:pPr>
      <w:rPr>
        <w:rFonts w:ascii="Arial" w:hAnsi="Arial" w:hint="default"/>
      </w:rPr>
    </w:lvl>
    <w:lvl w:ilvl="5" w:tplc="85F8F872" w:tentative="1">
      <w:start w:val="1"/>
      <w:numFmt w:val="bullet"/>
      <w:lvlText w:val="•"/>
      <w:lvlJc w:val="left"/>
      <w:pPr>
        <w:tabs>
          <w:tab w:val="num" w:pos="4320"/>
        </w:tabs>
        <w:ind w:left="4320" w:hanging="360"/>
      </w:pPr>
      <w:rPr>
        <w:rFonts w:ascii="Arial" w:hAnsi="Arial" w:hint="default"/>
      </w:rPr>
    </w:lvl>
    <w:lvl w:ilvl="6" w:tplc="F07A2A48" w:tentative="1">
      <w:start w:val="1"/>
      <w:numFmt w:val="bullet"/>
      <w:lvlText w:val="•"/>
      <w:lvlJc w:val="left"/>
      <w:pPr>
        <w:tabs>
          <w:tab w:val="num" w:pos="5040"/>
        </w:tabs>
        <w:ind w:left="5040" w:hanging="360"/>
      </w:pPr>
      <w:rPr>
        <w:rFonts w:ascii="Arial" w:hAnsi="Arial" w:hint="default"/>
      </w:rPr>
    </w:lvl>
    <w:lvl w:ilvl="7" w:tplc="6DD616C8" w:tentative="1">
      <w:start w:val="1"/>
      <w:numFmt w:val="bullet"/>
      <w:lvlText w:val="•"/>
      <w:lvlJc w:val="left"/>
      <w:pPr>
        <w:tabs>
          <w:tab w:val="num" w:pos="5760"/>
        </w:tabs>
        <w:ind w:left="5760" w:hanging="360"/>
      </w:pPr>
      <w:rPr>
        <w:rFonts w:ascii="Arial" w:hAnsi="Arial" w:hint="default"/>
      </w:rPr>
    </w:lvl>
    <w:lvl w:ilvl="8" w:tplc="439650AC" w:tentative="1">
      <w:start w:val="1"/>
      <w:numFmt w:val="bullet"/>
      <w:lvlText w:val="•"/>
      <w:lvlJc w:val="left"/>
      <w:pPr>
        <w:tabs>
          <w:tab w:val="num" w:pos="6480"/>
        </w:tabs>
        <w:ind w:left="6480" w:hanging="360"/>
      </w:pPr>
      <w:rPr>
        <w:rFonts w:ascii="Arial" w:hAnsi="Arial" w:hint="default"/>
      </w:rPr>
    </w:lvl>
  </w:abstractNum>
  <w:num w:numId="1">
    <w:abstractNumId w:val="6"/>
  </w:num>
  <w:num w:numId="2">
    <w:abstractNumId w:val="25"/>
  </w:num>
  <w:num w:numId="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23"/>
  </w:num>
  <w:num w:numId="7">
    <w:abstractNumId w:val="8"/>
  </w:num>
  <w:num w:numId="8">
    <w:abstractNumId w:val="4"/>
  </w:num>
  <w:num w:numId="9">
    <w:abstractNumId w:val="12"/>
  </w:num>
  <w:num w:numId="10">
    <w:abstractNumId w:val="26"/>
  </w:num>
  <w:num w:numId="11">
    <w:abstractNumId w:val="7"/>
  </w:num>
  <w:num w:numId="12">
    <w:abstractNumId w:val="5"/>
  </w:num>
  <w:num w:numId="13">
    <w:abstractNumId w:val="21"/>
  </w:num>
  <w:num w:numId="14">
    <w:abstractNumId w:val="15"/>
  </w:num>
  <w:num w:numId="15">
    <w:abstractNumId w:val="10"/>
  </w:num>
  <w:num w:numId="16">
    <w:abstractNumId w:val="13"/>
  </w:num>
  <w:num w:numId="17">
    <w:abstractNumId w:val="19"/>
  </w:num>
  <w:num w:numId="18">
    <w:abstractNumId w:val="20"/>
  </w:num>
  <w:num w:numId="19">
    <w:abstractNumId w:val="3"/>
  </w:num>
  <w:num w:numId="20">
    <w:abstractNumId w:val="14"/>
  </w:num>
  <w:num w:numId="21">
    <w:abstractNumId w:val="22"/>
  </w:num>
  <w:num w:numId="22">
    <w:abstractNumId w:val="24"/>
  </w:num>
  <w:num w:numId="23">
    <w:abstractNumId w:val="16"/>
  </w:num>
  <w:num w:numId="24">
    <w:abstractNumId w:val="9"/>
  </w:num>
  <w:num w:numId="25">
    <w:abstractNumId w:val="29"/>
  </w:num>
  <w:num w:numId="26">
    <w:abstractNumId w:val="28"/>
  </w:num>
  <w:num w:numId="27">
    <w:abstractNumId w:val="11"/>
  </w:num>
  <w:num w:numId="28">
    <w:abstractNumId w:val="17"/>
  </w:num>
  <w:num w:numId="29">
    <w:abstractNumId w:val="27"/>
  </w:num>
  <w:num w:numId="30">
    <w:abstractNumId w:val="1"/>
  </w:num>
  <w:num w:numId="31">
    <w:abstractNumId w:val="18"/>
  </w:num>
  <w:num w:numId="32">
    <w:abstractNumId w:val="6"/>
  </w:num>
  <w:num w:numId="33">
    <w:abstractNumId w:val="6"/>
  </w:num>
  <w:num w:numId="34">
    <w:abstractNumId w:val="6"/>
  </w:num>
  <w:num w:numId="35">
    <w:abstractNumId w:val="6"/>
  </w:num>
  <w:num w:numId="36">
    <w:abstractNumId w:val="6"/>
  </w:num>
  <w:num w:numId="37">
    <w:abstractNumId w:val="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proofState w:spelling="clean" w:grammar="clean"/>
  <w:defaultTabStop w:val="709"/>
  <w:hyphenationZone w:val="425"/>
  <w:drawingGridHorizontalSpacing w:val="100"/>
  <w:displayHorizontalDrawingGridEvery w:val="2"/>
  <w:characterSpacingControl w:val="doNotCompress"/>
  <w:hdrShapeDefaults>
    <o:shapedefaults v:ext="edit" spidmax="2064"/>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67DF"/>
    <w:rsid w:val="000011ED"/>
    <w:rsid w:val="00001282"/>
    <w:rsid w:val="000013C5"/>
    <w:rsid w:val="0000216B"/>
    <w:rsid w:val="0000382E"/>
    <w:rsid w:val="000056B3"/>
    <w:rsid w:val="000101BC"/>
    <w:rsid w:val="00012B95"/>
    <w:rsid w:val="00015913"/>
    <w:rsid w:val="00021819"/>
    <w:rsid w:val="00022E5B"/>
    <w:rsid w:val="00023EC2"/>
    <w:rsid w:val="000253B5"/>
    <w:rsid w:val="00026C2F"/>
    <w:rsid w:val="00027691"/>
    <w:rsid w:val="00027A15"/>
    <w:rsid w:val="00027DE9"/>
    <w:rsid w:val="00037121"/>
    <w:rsid w:val="000406AC"/>
    <w:rsid w:val="00040BA7"/>
    <w:rsid w:val="0004220E"/>
    <w:rsid w:val="00042E71"/>
    <w:rsid w:val="00043032"/>
    <w:rsid w:val="00045107"/>
    <w:rsid w:val="00051D94"/>
    <w:rsid w:val="00054D7E"/>
    <w:rsid w:val="00061D97"/>
    <w:rsid w:val="00062724"/>
    <w:rsid w:val="00063306"/>
    <w:rsid w:val="0006411E"/>
    <w:rsid w:val="00064F29"/>
    <w:rsid w:val="00065458"/>
    <w:rsid w:val="00071618"/>
    <w:rsid w:val="000724B6"/>
    <w:rsid w:val="00072D3C"/>
    <w:rsid w:val="00073075"/>
    <w:rsid w:val="00073F8C"/>
    <w:rsid w:val="00074EB7"/>
    <w:rsid w:val="00076C44"/>
    <w:rsid w:val="00077ACC"/>
    <w:rsid w:val="00085DE0"/>
    <w:rsid w:val="000901ED"/>
    <w:rsid w:val="00091302"/>
    <w:rsid w:val="00091E50"/>
    <w:rsid w:val="0009243F"/>
    <w:rsid w:val="00094138"/>
    <w:rsid w:val="0009471A"/>
    <w:rsid w:val="0009691F"/>
    <w:rsid w:val="000A2947"/>
    <w:rsid w:val="000A487B"/>
    <w:rsid w:val="000A5559"/>
    <w:rsid w:val="000B096C"/>
    <w:rsid w:val="000B245B"/>
    <w:rsid w:val="000C0FE8"/>
    <w:rsid w:val="000C2281"/>
    <w:rsid w:val="000C3EED"/>
    <w:rsid w:val="000D0C79"/>
    <w:rsid w:val="000D1FAC"/>
    <w:rsid w:val="000D271A"/>
    <w:rsid w:val="000D2BE0"/>
    <w:rsid w:val="000D78C4"/>
    <w:rsid w:val="000E154B"/>
    <w:rsid w:val="000E1A07"/>
    <w:rsid w:val="000E1A66"/>
    <w:rsid w:val="000E2482"/>
    <w:rsid w:val="000E3314"/>
    <w:rsid w:val="000E4066"/>
    <w:rsid w:val="000F3478"/>
    <w:rsid w:val="000F40B8"/>
    <w:rsid w:val="000F7ECB"/>
    <w:rsid w:val="00100CC8"/>
    <w:rsid w:val="00105B62"/>
    <w:rsid w:val="0010780F"/>
    <w:rsid w:val="0011605A"/>
    <w:rsid w:val="00120A92"/>
    <w:rsid w:val="0012100F"/>
    <w:rsid w:val="00123A8A"/>
    <w:rsid w:val="001320C4"/>
    <w:rsid w:val="00132322"/>
    <w:rsid w:val="001346B3"/>
    <w:rsid w:val="0013616F"/>
    <w:rsid w:val="00150DE9"/>
    <w:rsid w:val="001510E2"/>
    <w:rsid w:val="00151E13"/>
    <w:rsid w:val="001550CE"/>
    <w:rsid w:val="001562DB"/>
    <w:rsid w:val="00160C94"/>
    <w:rsid w:val="00161E80"/>
    <w:rsid w:val="001629FC"/>
    <w:rsid w:val="00163464"/>
    <w:rsid w:val="001726AB"/>
    <w:rsid w:val="00174179"/>
    <w:rsid w:val="0017663D"/>
    <w:rsid w:val="00176C74"/>
    <w:rsid w:val="00180664"/>
    <w:rsid w:val="00180BC0"/>
    <w:rsid w:val="00180D9B"/>
    <w:rsid w:val="00181E36"/>
    <w:rsid w:val="00184313"/>
    <w:rsid w:val="001843FB"/>
    <w:rsid w:val="00184D02"/>
    <w:rsid w:val="00185CAC"/>
    <w:rsid w:val="00194473"/>
    <w:rsid w:val="0019521D"/>
    <w:rsid w:val="001955EB"/>
    <w:rsid w:val="00195C4C"/>
    <w:rsid w:val="0019775A"/>
    <w:rsid w:val="001A4CBE"/>
    <w:rsid w:val="001B13B6"/>
    <w:rsid w:val="001B6149"/>
    <w:rsid w:val="001B65CE"/>
    <w:rsid w:val="001C0DE2"/>
    <w:rsid w:val="001C20BD"/>
    <w:rsid w:val="001C31EB"/>
    <w:rsid w:val="001D1479"/>
    <w:rsid w:val="001D2883"/>
    <w:rsid w:val="001D642D"/>
    <w:rsid w:val="001D6594"/>
    <w:rsid w:val="001D713C"/>
    <w:rsid w:val="001E4683"/>
    <w:rsid w:val="001E5365"/>
    <w:rsid w:val="001E5768"/>
    <w:rsid w:val="001E67D9"/>
    <w:rsid w:val="001E7184"/>
    <w:rsid w:val="001F025A"/>
    <w:rsid w:val="001F260E"/>
    <w:rsid w:val="001F5A50"/>
    <w:rsid w:val="002017C7"/>
    <w:rsid w:val="00203B5D"/>
    <w:rsid w:val="00205FD0"/>
    <w:rsid w:val="00210AF7"/>
    <w:rsid w:val="002115D2"/>
    <w:rsid w:val="002137F1"/>
    <w:rsid w:val="002206C0"/>
    <w:rsid w:val="00220E07"/>
    <w:rsid w:val="00225E88"/>
    <w:rsid w:val="0022715D"/>
    <w:rsid w:val="00232EDE"/>
    <w:rsid w:val="002330F5"/>
    <w:rsid w:val="0023337A"/>
    <w:rsid w:val="002337D3"/>
    <w:rsid w:val="002413DC"/>
    <w:rsid w:val="00241B51"/>
    <w:rsid w:val="00242A0C"/>
    <w:rsid w:val="002430F8"/>
    <w:rsid w:val="00244A37"/>
    <w:rsid w:val="00247F66"/>
    <w:rsid w:val="00251891"/>
    <w:rsid w:val="00262052"/>
    <w:rsid w:val="00262DCF"/>
    <w:rsid w:val="00263B39"/>
    <w:rsid w:val="00270311"/>
    <w:rsid w:val="00272026"/>
    <w:rsid w:val="00274CF4"/>
    <w:rsid w:val="00275449"/>
    <w:rsid w:val="00276C21"/>
    <w:rsid w:val="00280815"/>
    <w:rsid w:val="00283584"/>
    <w:rsid w:val="00285A59"/>
    <w:rsid w:val="002877B2"/>
    <w:rsid w:val="00291030"/>
    <w:rsid w:val="00291A9F"/>
    <w:rsid w:val="00292D37"/>
    <w:rsid w:val="0029334A"/>
    <w:rsid w:val="002938A3"/>
    <w:rsid w:val="00296168"/>
    <w:rsid w:val="002970D2"/>
    <w:rsid w:val="002A05AB"/>
    <w:rsid w:val="002A05C5"/>
    <w:rsid w:val="002A3F94"/>
    <w:rsid w:val="002A6B39"/>
    <w:rsid w:val="002B1BCC"/>
    <w:rsid w:val="002B6965"/>
    <w:rsid w:val="002C1131"/>
    <w:rsid w:val="002C5627"/>
    <w:rsid w:val="002C62AA"/>
    <w:rsid w:val="002D0985"/>
    <w:rsid w:val="002D25B7"/>
    <w:rsid w:val="002E5E8B"/>
    <w:rsid w:val="002F3CD4"/>
    <w:rsid w:val="002F523D"/>
    <w:rsid w:val="002F7A7A"/>
    <w:rsid w:val="003128A6"/>
    <w:rsid w:val="003138F9"/>
    <w:rsid w:val="00313F5A"/>
    <w:rsid w:val="00315E38"/>
    <w:rsid w:val="00315F97"/>
    <w:rsid w:val="00317019"/>
    <w:rsid w:val="00317E09"/>
    <w:rsid w:val="00317E5F"/>
    <w:rsid w:val="0032410B"/>
    <w:rsid w:val="0032495C"/>
    <w:rsid w:val="003266F9"/>
    <w:rsid w:val="00327080"/>
    <w:rsid w:val="003328D0"/>
    <w:rsid w:val="00334A6B"/>
    <w:rsid w:val="00337ADD"/>
    <w:rsid w:val="00341BEE"/>
    <w:rsid w:val="00344B79"/>
    <w:rsid w:val="00347AB1"/>
    <w:rsid w:val="003510E3"/>
    <w:rsid w:val="00355F01"/>
    <w:rsid w:val="00357704"/>
    <w:rsid w:val="00363B23"/>
    <w:rsid w:val="003652F7"/>
    <w:rsid w:val="0036655F"/>
    <w:rsid w:val="00366F19"/>
    <w:rsid w:val="00381D01"/>
    <w:rsid w:val="00382CAD"/>
    <w:rsid w:val="003831CB"/>
    <w:rsid w:val="00386A69"/>
    <w:rsid w:val="00390790"/>
    <w:rsid w:val="00392CF0"/>
    <w:rsid w:val="003940F9"/>
    <w:rsid w:val="003951D5"/>
    <w:rsid w:val="00397741"/>
    <w:rsid w:val="003A38C8"/>
    <w:rsid w:val="003A4580"/>
    <w:rsid w:val="003A6DD7"/>
    <w:rsid w:val="003C75C3"/>
    <w:rsid w:val="003D1093"/>
    <w:rsid w:val="003D14FC"/>
    <w:rsid w:val="003D5E4A"/>
    <w:rsid w:val="003E05F3"/>
    <w:rsid w:val="003E2484"/>
    <w:rsid w:val="003E403E"/>
    <w:rsid w:val="003E442F"/>
    <w:rsid w:val="003E7C5E"/>
    <w:rsid w:val="003F3781"/>
    <w:rsid w:val="00400C27"/>
    <w:rsid w:val="00400E7D"/>
    <w:rsid w:val="00407296"/>
    <w:rsid w:val="004104D2"/>
    <w:rsid w:val="00412145"/>
    <w:rsid w:val="00413241"/>
    <w:rsid w:val="00420D88"/>
    <w:rsid w:val="00423F03"/>
    <w:rsid w:val="00426369"/>
    <w:rsid w:val="00426B9F"/>
    <w:rsid w:val="0043272C"/>
    <w:rsid w:val="00434875"/>
    <w:rsid w:val="0044191B"/>
    <w:rsid w:val="00443ACB"/>
    <w:rsid w:val="00444CCF"/>
    <w:rsid w:val="004452D7"/>
    <w:rsid w:val="004526E2"/>
    <w:rsid w:val="004527E0"/>
    <w:rsid w:val="00453ED3"/>
    <w:rsid w:val="00457953"/>
    <w:rsid w:val="00457A6C"/>
    <w:rsid w:val="00461933"/>
    <w:rsid w:val="0046242B"/>
    <w:rsid w:val="00465BC4"/>
    <w:rsid w:val="00485C62"/>
    <w:rsid w:val="00486151"/>
    <w:rsid w:val="004869E9"/>
    <w:rsid w:val="00487CFF"/>
    <w:rsid w:val="004907B7"/>
    <w:rsid w:val="0049334E"/>
    <w:rsid w:val="00493781"/>
    <w:rsid w:val="0049559B"/>
    <w:rsid w:val="00496A8E"/>
    <w:rsid w:val="004A18CB"/>
    <w:rsid w:val="004A1901"/>
    <w:rsid w:val="004A3485"/>
    <w:rsid w:val="004A7893"/>
    <w:rsid w:val="004B136A"/>
    <w:rsid w:val="004B2EA3"/>
    <w:rsid w:val="004B480B"/>
    <w:rsid w:val="004B48B6"/>
    <w:rsid w:val="004B561A"/>
    <w:rsid w:val="004C12BC"/>
    <w:rsid w:val="004C3ED0"/>
    <w:rsid w:val="004C3FD7"/>
    <w:rsid w:val="004D4BA6"/>
    <w:rsid w:val="004D7492"/>
    <w:rsid w:val="004D7DE0"/>
    <w:rsid w:val="004E1229"/>
    <w:rsid w:val="004E29EB"/>
    <w:rsid w:val="004E370A"/>
    <w:rsid w:val="004E3A28"/>
    <w:rsid w:val="004E7DE0"/>
    <w:rsid w:val="004F05C6"/>
    <w:rsid w:val="004F483C"/>
    <w:rsid w:val="004F5B56"/>
    <w:rsid w:val="005003C0"/>
    <w:rsid w:val="00502E21"/>
    <w:rsid w:val="00503433"/>
    <w:rsid w:val="00513B64"/>
    <w:rsid w:val="00513ED5"/>
    <w:rsid w:val="005164DA"/>
    <w:rsid w:val="00516BA9"/>
    <w:rsid w:val="005175BA"/>
    <w:rsid w:val="00524B57"/>
    <w:rsid w:val="00526507"/>
    <w:rsid w:val="0053393F"/>
    <w:rsid w:val="00535657"/>
    <w:rsid w:val="005366AE"/>
    <w:rsid w:val="00542B97"/>
    <w:rsid w:val="00544BF2"/>
    <w:rsid w:val="0054754A"/>
    <w:rsid w:val="00554EC5"/>
    <w:rsid w:val="00555912"/>
    <w:rsid w:val="005562A5"/>
    <w:rsid w:val="005640B4"/>
    <w:rsid w:val="00566941"/>
    <w:rsid w:val="00570278"/>
    <w:rsid w:val="0057164E"/>
    <w:rsid w:val="005729AD"/>
    <w:rsid w:val="00572A18"/>
    <w:rsid w:val="00574EF3"/>
    <w:rsid w:val="00576F67"/>
    <w:rsid w:val="00577F60"/>
    <w:rsid w:val="00580BB4"/>
    <w:rsid w:val="005835F9"/>
    <w:rsid w:val="005844BB"/>
    <w:rsid w:val="0058596C"/>
    <w:rsid w:val="00587D63"/>
    <w:rsid w:val="00593E8D"/>
    <w:rsid w:val="0059459C"/>
    <w:rsid w:val="00595E8C"/>
    <w:rsid w:val="00597A3A"/>
    <w:rsid w:val="005A1A33"/>
    <w:rsid w:val="005A1B02"/>
    <w:rsid w:val="005A2A0B"/>
    <w:rsid w:val="005A2E1F"/>
    <w:rsid w:val="005A32A3"/>
    <w:rsid w:val="005A437F"/>
    <w:rsid w:val="005A754F"/>
    <w:rsid w:val="005B2928"/>
    <w:rsid w:val="005B720D"/>
    <w:rsid w:val="005B74CE"/>
    <w:rsid w:val="005C07CB"/>
    <w:rsid w:val="005C2A06"/>
    <w:rsid w:val="005C3453"/>
    <w:rsid w:val="005C55F1"/>
    <w:rsid w:val="005D2741"/>
    <w:rsid w:val="005D27F4"/>
    <w:rsid w:val="005D4AF0"/>
    <w:rsid w:val="005D626C"/>
    <w:rsid w:val="005D68E0"/>
    <w:rsid w:val="005E003B"/>
    <w:rsid w:val="005E56A5"/>
    <w:rsid w:val="005E5C97"/>
    <w:rsid w:val="005E638F"/>
    <w:rsid w:val="005E69C6"/>
    <w:rsid w:val="005F1201"/>
    <w:rsid w:val="005F7C7E"/>
    <w:rsid w:val="005F7E90"/>
    <w:rsid w:val="00600690"/>
    <w:rsid w:val="006012A6"/>
    <w:rsid w:val="00602D1F"/>
    <w:rsid w:val="00604E50"/>
    <w:rsid w:val="006145BA"/>
    <w:rsid w:val="00616841"/>
    <w:rsid w:val="00623775"/>
    <w:rsid w:val="006302E3"/>
    <w:rsid w:val="00633269"/>
    <w:rsid w:val="00633347"/>
    <w:rsid w:val="00636448"/>
    <w:rsid w:val="00640F33"/>
    <w:rsid w:val="006550B2"/>
    <w:rsid w:val="00656716"/>
    <w:rsid w:val="0066671D"/>
    <w:rsid w:val="0066774B"/>
    <w:rsid w:val="0067199F"/>
    <w:rsid w:val="00674515"/>
    <w:rsid w:val="006751BA"/>
    <w:rsid w:val="00676A01"/>
    <w:rsid w:val="00677815"/>
    <w:rsid w:val="00677C4F"/>
    <w:rsid w:val="00682E72"/>
    <w:rsid w:val="006844B8"/>
    <w:rsid w:val="00686BD9"/>
    <w:rsid w:val="0069007C"/>
    <w:rsid w:val="0069269C"/>
    <w:rsid w:val="00694A4F"/>
    <w:rsid w:val="00695407"/>
    <w:rsid w:val="006954C8"/>
    <w:rsid w:val="00696034"/>
    <w:rsid w:val="006B1C3E"/>
    <w:rsid w:val="006B2BD0"/>
    <w:rsid w:val="006B3F3A"/>
    <w:rsid w:val="006B696F"/>
    <w:rsid w:val="006B7BD4"/>
    <w:rsid w:val="006C0A33"/>
    <w:rsid w:val="006C75D9"/>
    <w:rsid w:val="006D179A"/>
    <w:rsid w:val="006D2B83"/>
    <w:rsid w:val="006D3537"/>
    <w:rsid w:val="006D4F01"/>
    <w:rsid w:val="006D7002"/>
    <w:rsid w:val="006E3715"/>
    <w:rsid w:val="006F0D60"/>
    <w:rsid w:val="006F60B2"/>
    <w:rsid w:val="00700549"/>
    <w:rsid w:val="007005B9"/>
    <w:rsid w:val="00702BA8"/>
    <w:rsid w:val="00704152"/>
    <w:rsid w:val="007047CE"/>
    <w:rsid w:val="00710713"/>
    <w:rsid w:val="0071434C"/>
    <w:rsid w:val="007145AD"/>
    <w:rsid w:val="00720FD4"/>
    <w:rsid w:val="00721032"/>
    <w:rsid w:val="00721687"/>
    <w:rsid w:val="0072652B"/>
    <w:rsid w:val="00726C4E"/>
    <w:rsid w:val="007307A3"/>
    <w:rsid w:val="00735C50"/>
    <w:rsid w:val="007366A4"/>
    <w:rsid w:val="007527C2"/>
    <w:rsid w:val="0075369F"/>
    <w:rsid w:val="0075370C"/>
    <w:rsid w:val="00754228"/>
    <w:rsid w:val="007557E1"/>
    <w:rsid w:val="0075605A"/>
    <w:rsid w:val="00756FCE"/>
    <w:rsid w:val="007615F6"/>
    <w:rsid w:val="0076260D"/>
    <w:rsid w:val="00763C72"/>
    <w:rsid w:val="00766B7F"/>
    <w:rsid w:val="00770030"/>
    <w:rsid w:val="00775DDA"/>
    <w:rsid w:val="00777E0D"/>
    <w:rsid w:val="00780FE3"/>
    <w:rsid w:val="007866AD"/>
    <w:rsid w:val="007953C7"/>
    <w:rsid w:val="00795897"/>
    <w:rsid w:val="007963E2"/>
    <w:rsid w:val="00796989"/>
    <w:rsid w:val="00796C7F"/>
    <w:rsid w:val="00796CEB"/>
    <w:rsid w:val="00797A35"/>
    <w:rsid w:val="007A01D9"/>
    <w:rsid w:val="007A2EFB"/>
    <w:rsid w:val="007A31A8"/>
    <w:rsid w:val="007A3231"/>
    <w:rsid w:val="007A6987"/>
    <w:rsid w:val="007B089C"/>
    <w:rsid w:val="007B0B9A"/>
    <w:rsid w:val="007B0E75"/>
    <w:rsid w:val="007B0F58"/>
    <w:rsid w:val="007B7D95"/>
    <w:rsid w:val="007C1C80"/>
    <w:rsid w:val="007C20AD"/>
    <w:rsid w:val="007C2C3A"/>
    <w:rsid w:val="007C4545"/>
    <w:rsid w:val="007C4866"/>
    <w:rsid w:val="007C5F38"/>
    <w:rsid w:val="007C66E2"/>
    <w:rsid w:val="007D003B"/>
    <w:rsid w:val="007D383E"/>
    <w:rsid w:val="007D444A"/>
    <w:rsid w:val="007D47BF"/>
    <w:rsid w:val="007D5D51"/>
    <w:rsid w:val="007D5F52"/>
    <w:rsid w:val="007D7EBD"/>
    <w:rsid w:val="007F4E59"/>
    <w:rsid w:val="007F6808"/>
    <w:rsid w:val="00804D2B"/>
    <w:rsid w:val="00807FF9"/>
    <w:rsid w:val="00817D2D"/>
    <w:rsid w:val="008277FD"/>
    <w:rsid w:val="00832D60"/>
    <w:rsid w:val="0083497D"/>
    <w:rsid w:val="008354DB"/>
    <w:rsid w:val="008459A8"/>
    <w:rsid w:val="008511A8"/>
    <w:rsid w:val="00851C2D"/>
    <w:rsid w:val="0085213D"/>
    <w:rsid w:val="00853027"/>
    <w:rsid w:val="00855E5C"/>
    <w:rsid w:val="00861A28"/>
    <w:rsid w:val="008674BA"/>
    <w:rsid w:val="00870991"/>
    <w:rsid w:val="00870A59"/>
    <w:rsid w:val="00870E79"/>
    <w:rsid w:val="00874819"/>
    <w:rsid w:val="008816CE"/>
    <w:rsid w:val="00896F20"/>
    <w:rsid w:val="008A20B6"/>
    <w:rsid w:val="008A3CB0"/>
    <w:rsid w:val="008B3B9C"/>
    <w:rsid w:val="008B5712"/>
    <w:rsid w:val="008B70F5"/>
    <w:rsid w:val="008B7E19"/>
    <w:rsid w:val="008C27ED"/>
    <w:rsid w:val="008C3BC3"/>
    <w:rsid w:val="008C4D92"/>
    <w:rsid w:val="008C734C"/>
    <w:rsid w:val="008D1D3F"/>
    <w:rsid w:val="008D68F7"/>
    <w:rsid w:val="008E2868"/>
    <w:rsid w:val="008E2C81"/>
    <w:rsid w:val="008E6B72"/>
    <w:rsid w:val="008F2615"/>
    <w:rsid w:val="008F6315"/>
    <w:rsid w:val="008F6623"/>
    <w:rsid w:val="00901E44"/>
    <w:rsid w:val="00902726"/>
    <w:rsid w:val="009046ED"/>
    <w:rsid w:val="00904CCF"/>
    <w:rsid w:val="009144D4"/>
    <w:rsid w:val="009162EF"/>
    <w:rsid w:val="00916880"/>
    <w:rsid w:val="00916BBC"/>
    <w:rsid w:val="00921412"/>
    <w:rsid w:val="00923D09"/>
    <w:rsid w:val="0092727C"/>
    <w:rsid w:val="0093283C"/>
    <w:rsid w:val="00933185"/>
    <w:rsid w:val="0093325B"/>
    <w:rsid w:val="00950A84"/>
    <w:rsid w:val="009535BF"/>
    <w:rsid w:val="00956D99"/>
    <w:rsid w:val="00960CAD"/>
    <w:rsid w:val="00971894"/>
    <w:rsid w:val="00972923"/>
    <w:rsid w:val="00972E61"/>
    <w:rsid w:val="00993B40"/>
    <w:rsid w:val="00995A76"/>
    <w:rsid w:val="00996893"/>
    <w:rsid w:val="009A06D1"/>
    <w:rsid w:val="009A06F1"/>
    <w:rsid w:val="009A5468"/>
    <w:rsid w:val="009A6587"/>
    <w:rsid w:val="009A7072"/>
    <w:rsid w:val="009B56D1"/>
    <w:rsid w:val="009C1A6E"/>
    <w:rsid w:val="009C322E"/>
    <w:rsid w:val="009C3297"/>
    <w:rsid w:val="009C54B9"/>
    <w:rsid w:val="009C6214"/>
    <w:rsid w:val="009C649F"/>
    <w:rsid w:val="009C776E"/>
    <w:rsid w:val="009D04D0"/>
    <w:rsid w:val="009D2F66"/>
    <w:rsid w:val="009D36AB"/>
    <w:rsid w:val="009D4191"/>
    <w:rsid w:val="009E065F"/>
    <w:rsid w:val="009E2EE8"/>
    <w:rsid w:val="009E5857"/>
    <w:rsid w:val="009F0C99"/>
    <w:rsid w:val="009F2E96"/>
    <w:rsid w:val="009F4A87"/>
    <w:rsid w:val="00A06D2A"/>
    <w:rsid w:val="00A07692"/>
    <w:rsid w:val="00A11540"/>
    <w:rsid w:val="00A14110"/>
    <w:rsid w:val="00A22D8F"/>
    <w:rsid w:val="00A232EF"/>
    <w:rsid w:val="00A301C5"/>
    <w:rsid w:val="00A32FB7"/>
    <w:rsid w:val="00A40106"/>
    <w:rsid w:val="00A40605"/>
    <w:rsid w:val="00A41268"/>
    <w:rsid w:val="00A42BBE"/>
    <w:rsid w:val="00A479BB"/>
    <w:rsid w:val="00A50A44"/>
    <w:rsid w:val="00A5380A"/>
    <w:rsid w:val="00A53A29"/>
    <w:rsid w:val="00A5623D"/>
    <w:rsid w:val="00A56585"/>
    <w:rsid w:val="00A575D7"/>
    <w:rsid w:val="00A578E0"/>
    <w:rsid w:val="00A6203E"/>
    <w:rsid w:val="00A65FC6"/>
    <w:rsid w:val="00A66D74"/>
    <w:rsid w:val="00A70B72"/>
    <w:rsid w:val="00A73178"/>
    <w:rsid w:val="00A74816"/>
    <w:rsid w:val="00A74AFA"/>
    <w:rsid w:val="00A75748"/>
    <w:rsid w:val="00A7785A"/>
    <w:rsid w:val="00A80C5A"/>
    <w:rsid w:val="00A81CB7"/>
    <w:rsid w:val="00A83283"/>
    <w:rsid w:val="00A8330D"/>
    <w:rsid w:val="00A84DBE"/>
    <w:rsid w:val="00A91FDE"/>
    <w:rsid w:val="00A93DE6"/>
    <w:rsid w:val="00A94A3D"/>
    <w:rsid w:val="00A96B8E"/>
    <w:rsid w:val="00A971F5"/>
    <w:rsid w:val="00A97859"/>
    <w:rsid w:val="00AA3E8E"/>
    <w:rsid w:val="00AA4B44"/>
    <w:rsid w:val="00AA5881"/>
    <w:rsid w:val="00AB248F"/>
    <w:rsid w:val="00AB3249"/>
    <w:rsid w:val="00AB626A"/>
    <w:rsid w:val="00AB6AE3"/>
    <w:rsid w:val="00AB7EA8"/>
    <w:rsid w:val="00AC42A1"/>
    <w:rsid w:val="00AC74EE"/>
    <w:rsid w:val="00AC795A"/>
    <w:rsid w:val="00AD6D24"/>
    <w:rsid w:val="00AD76AE"/>
    <w:rsid w:val="00AE7BE1"/>
    <w:rsid w:val="00AF5944"/>
    <w:rsid w:val="00B0303B"/>
    <w:rsid w:val="00B0366B"/>
    <w:rsid w:val="00B03FF5"/>
    <w:rsid w:val="00B061B5"/>
    <w:rsid w:val="00B10E44"/>
    <w:rsid w:val="00B2024C"/>
    <w:rsid w:val="00B20535"/>
    <w:rsid w:val="00B25314"/>
    <w:rsid w:val="00B26EAD"/>
    <w:rsid w:val="00B326F9"/>
    <w:rsid w:val="00B342F3"/>
    <w:rsid w:val="00B35FA5"/>
    <w:rsid w:val="00B44B50"/>
    <w:rsid w:val="00B45CD3"/>
    <w:rsid w:val="00B47D75"/>
    <w:rsid w:val="00B47EF7"/>
    <w:rsid w:val="00B5073F"/>
    <w:rsid w:val="00B51976"/>
    <w:rsid w:val="00B52C0C"/>
    <w:rsid w:val="00B54D75"/>
    <w:rsid w:val="00B55A0B"/>
    <w:rsid w:val="00B61797"/>
    <w:rsid w:val="00B65301"/>
    <w:rsid w:val="00B65473"/>
    <w:rsid w:val="00B66CB0"/>
    <w:rsid w:val="00B80AB5"/>
    <w:rsid w:val="00B814F0"/>
    <w:rsid w:val="00B81973"/>
    <w:rsid w:val="00B94AD9"/>
    <w:rsid w:val="00B94BA9"/>
    <w:rsid w:val="00BA3AC1"/>
    <w:rsid w:val="00BB4763"/>
    <w:rsid w:val="00BB6D0C"/>
    <w:rsid w:val="00BC0FE0"/>
    <w:rsid w:val="00BC1AAA"/>
    <w:rsid w:val="00BC5A15"/>
    <w:rsid w:val="00BC7A04"/>
    <w:rsid w:val="00BD052C"/>
    <w:rsid w:val="00BD3E3A"/>
    <w:rsid w:val="00BD4D64"/>
    <w:rsid w:val="00BD5FDC"/>
    <w:rsid w:val="00BD7775"/>
    <w:rsid w:val="00BE0CA3"/>
    <w:rsid w:val="00BE41AA"/>
    <w:rsid w:val="00BE4AB5"/>
    <w:rsid w:val="00BE61F9"/>
    <w:rsid w:val="00BF0F52"/>
    <w:rsid w:val="00BF6954"/>
    <w:rsid w:val="00BF7690"/>
    <w:rsid w:val="00C004FB"/>
    <w:rsid w:val="00C03AF4"/>
    <w:rsid w:val="00C04087"/>
    <w:rsid w:val="00C11C8F"/>
    <w:rsid w:val="00C139C7"/>
    <w:rsid w:val="00C13F37"/>
    <w:rsid w:val="00C22950"/>
    <w:rsid w:val="00C242F5"/>
    <w:rsid w:val="00C27B99"/>
    <w:rsid w:val="00C33D4D"/>
    <w:rsid w:val="00C35EA7"/>
    <w:rsid w:val="00C3646E"/>
    <w:rsid w:val="00C365B1"/>
    <w:rsid w:val="00C36C9B"/>
    <w:rsid w:val="00C40798"/>
    <w:rsid w:val="00C41731"/>
    <w:rsid w:val="00C42501"/>
    <w:rsid w:val="00C44508"/>
    <w:rsid w:val="00C453DF"/>
    <w:rsid w:val="00C45DF8"/>
    <w:rsid w:val="00C464C6"/>
    <w:rsid w:val="00C5485C"/>
    <w:rsid w:val="00C63365"/>
    <w:rsid w:val="00C648AA"/>
    <w:rsid w:val="00C64DCC"/>
    <w:rsid w:val="00C711A2"/>
    <w:rsid w:val="00C733FC"/>
    <w:rsid w:val="00C73D9B"/>
    <w:rsid w:val="00C74D1F"/>
    <w:rsid w:val="00C76BB5"/>
    <w:rsid w:val="00C8012F"/>
    <w:rsid w:val="00C817F2"/>
    <w:rsid w:val="00C8271E"/>
    <w:rsid w:val="00C8570B"/>
    <w:rsid w:val="00C9310E"/>
    <w:rsid w:val="00C94E33"/>
    <w:rsid w:val="00CA0845"/>
    <w:rsid w:val="00CA1445"/>
    <w:rsid w:val="00CA1E00"/>
    <w:rsid w:val="00CA1E25"/>
    <w:rsid w:val="00CC2163"/>
    <w:rsid w:val="00CC5F7D"/>
    <w:rsid w:val="00CC62BF"/>
    <w:rsid w:val="00CC783E"/>
    <w:rsid w:val="00CD529A"/>
    <w:rsid w:val="00CD615C"/>
    <w:rsid w:val="00CE20AD"/>
    <w:rsid w:val="00CE3519"/>
    <w:rsid w:val="00CE4454"/>
    <w:rsid w:val="00CE4774"/>
    <w:rsid w:val="00CE77F9"/>
    <w:rsid w:val="00CF1BF2"/>
    <w:rsid w:val="00CF3424"/>
    <w:rsid w:val="00CF38B6"/>
    <w:rsid w:val="00CF400C"/>
    <w:rsid w:val="00CF7056"/>
    <w:rsid w:val="00D01C57"/>
    <w:rsid w:val="00D035FE"/>
    <w:rsid w:val="00D05586"/>
    <w:rsid w:val="00D05E83"/>
    <w:rsid w:val="00D06B05"/>
    <w:rsid w:val="00D120AD"/>
    <w:rsid w:val="00D147DD"/>
    <w:rsid w:val="00D16D14"/>
    <w:rsid w:val="00D16D6B"/>
    <w:rsid w:val="00D20AEF"/>
    <w:rsid w:val="00D2585C"/>
    <w:rsid w:val="00D3111E"/>
    <w:rsid w:val="00D3331A"/>
    <w:rsid w:val="00D352F0"/>
    <w:rsid w:val="00D36C1E"/>
    <w:rsid w:val="00D4403C"/>
    <w:rsid w:val="00D44490"/>
    <w:rsid w:val="00D44EF3"/>
    <w:rsid w:val="00D45223"/>
    <w:rsid w:val="00D4767D"/>
    <w:rsid w:val="00D47F92"/>
    <w:rsid w:val="00D50911"/>
    <w:rsid w:val="00D5117D"/>
    <w:rsid w:val="00D52746"/>
    <w:rsid w:val="00D604EB"/>
    <w:rsid w:val="00D62A01"/>
    <w:rsid w:val="00D62CAB"/>
    <w:rsid w:val="00D6451C"/>
    <w:rsid w:val="00D72EB1"/>
    <w:rsid w:val="00D749AA"/>
    <w:rsid w:val="00D8014A"/>
    <w:rsid w:val="00D81942"/>
    <w:rsid w:val="00D9173C"/>
    <w:rsid w:val="00D9184A"/>
    <w:rsid w:val="00D96046"/>
    <w:rsid w:val="00D96C97"/>
    <w:rsid w:val="00DA2D74"/>
    <w:rsid w:val="00DA6B2A"/>
    <w:rsid w:val="00DB36BE"/>
    <w:rsid w:val="00DB42FB"/>
    <w:rsid w:val="00DB6D62"/>
    <w:rsid w:val="00DC0885"/>
    <w:rsid w:val="00DC1285"/>
    <w:rsid w:val="00DC1689"/>
    <w:rsid w:val="00DC2376"/>
    <w:rsid w:val="00DC7C6D"/>
    <w:rsid w:val="00DD004A"/>
    <w:rsid w:val="00DD3ABB"/>
    <w:rsid w:val="00DD7189"/>
    <w:rsid w:val="00DE0EFB"/>
    <w:rsid w:val="00DE1D4A"/>
    <w:rsid w:val="00DE6367"/>
    <w:rsid w:val="00DE696B"/>
    <w:rsid w:val="00DF046C"/>
    <w:rsid w:val="00DF1765"/>
    <w:rsid w:val="00DF1F41"/>
    <w:rsid w:val="00DF2A96"/>
    <w:rsid w:val="00DF2AD6"/>
    <w:rsid w:val="00DF4D3D"/>
    <w:rsid w:val="00DF5BCB"/>
    <w:rsid w:val="00DF73F4"/>
    <w:rsid w:val="00E0252C"/>
    <w:rsid w:val="00E10818"/>
    <w:rsid w:val="00E124E4"/>
    <w:rsid w:val="00E151CE"/>
    <w:rsid w:val="00E241C8"/>
    <w:rsid w:val="00E2578E"/>
    <w:rsid w:val="00E2667D"/>
    <w:rsid w:val="00E268C9"/>
    <w:rsid w:val="00E32D03"/>
    <w:rsid w:val="00E34456"/>
    <w:rsid w:val="00E40179"/>
    <w:rsid w:val="00E42E82"/>
    <w:rsid w:val="00E47A53"/>
    <w:rsid w:val="00E54B15"/>
    <w:rsid w:val="00E555F7"/>
    <w:rsid w:val="00E55671"/>
    <w:rsid w:val="00E60F66"/>
    <w:rsid w:val="00E667DF"/>
    <w:rsid w:val="00E70BF8"/>
    <w:rsid w:val="00E71E66"/>
    <w:rsid w:val="00E759A0"/>
    <w:rsid w:val="00E76417"/>
    <w:rsid w:val="00E77311"/>
    <w:rsid w:val="00E832A8"/>
    <w:rsid w:val="00E86063"/>
    <w:rsid w:val="00E94485"/>
    <w:rsid w:val="00E95495"/>
    <w:rsid w:val="00E969F6"/>
    <w:rsid w:val="00EA3D0C"/>
    <w:rsid w:val="00EA4B25"/>
    <w:rsid w:val="00EA794F"/>
    <w:rsid w:val="00EC1E02"/>
    <w:rsid w:val="00EC29F5"/>
    <w:rsid w:val="00EC7A4C"/>
    <w:rsid w:val="00ED0230"/>
    <w:rsid w:val="00ED11AB"/>
    <w:rsid w:val="00ED366E"/>
    <w:rsid w:val="00ED5FDC"/>
    <w:rsid w:val="00EE6B74"/>
    <w:rsid w:val="00EE7B66"/>
    <w:rsid w:val="00EF049E"/>
    <w:rsid w:val="00EF1CCE"/>
    <w:rsid w:val="00EF4068"/>
    <w:rsid w:val="00EF5B71"/>
    <w:rsid w:val="00EF76B5"/>
    <w:rsid w:val="00F005A8"/>
    <w:rsid w:val="00F05575"/>
    <w:rsid w:val="00F056B1"/>
    <w:rsid w:val="00F0744E"/>
    <w:rsid w:val="00F07D37"/>
    <w:rsid w:val="00F10C03"/>
    <w:rsid w:val="00F12F83"/>
    <w:rsid w:val="00F14BBA"/>
    <w:rsid w:val="00F2190E"/>
    <w:rsid w:val="00F22109"/>
    <w:rsid w:val="00F23EA2"/>
    <w:rsid w:val="00F24722"/>
    <w:rsid w:val="00F25254"/>
    <w:rsid w:val="00F25DA4"/>
    <w:rsid w:val="00F31E8E"/>
    <w:rsid w:val="00F361E7"/>
    <w:rsid w:val="00F42ABF"/>
    <w:rsid w:val="00F4407D"/>
    <w:rsid w:val="00F456A5"/>
    <w:rsid w:val="00F5515E"/>
    <w:rsid w:val="00F5601B"/>
    <w:rsid w:val="00F56F3B"/>
    <w:rsid w:val="00F6070B"/>
    <w:rsid w:val="00F64820"/>
    <w:rsid w:val="00F64E69"/>
    <w:rsid w:val="00F66AEB"/>
    <w:rsid w:val="00F6712F"/>
    <w:rsid w:val="00F71750"/>
    <w:rsid w:val="00F7351B"/>
    <w:rsid w:val="00F741E6"/>
    <w:rsid w:val="00F75A40"/>
    <w:rsid w:val="00F85BA3"/>
    <w:rsid w:val="00F85DD7"/>
    <w:rsid w:val="00F91B85"/>
    <w:rsid w:val="00F94475"/>
    <w:rsid w:val="00F945CE"/>
    <w:rsid w:val="00F94C9B"/>
    <w:rsid w:val="00F95124"/>
    <w:rsid w:val="00F96941"/>
    <w:rsid w:val="00F971EC"/>
    <w:rsid w:val="00FA3AC3"/>
    <w:rsid w:val="00FA5BA2"/>
    <w:rsid w:val="00FB456F"/>
    <w:rsid w:val="00FC4C44"/>
    <w:rsid w:val="00FC7ED5"/>
    <w:rsid w:val="00FD4759"/>
    <w:rsid w:val="00FD552B"/>
    <w:rsid w:val="00FE1E85"/>
    <w:rsid w:val="00FE2F27"/>
    <w:rsid w:val="00FE6F7F"/>
    <w:rsid w:val="00FF1AA6"/>
    <w:rsid w:val="00FF2349"/>
    <w:rsid w:val="00FF674F"/>
    <w:rsid w:val="00FF67BF"/>
    <w:rsid w:val="00FF7E06"/>
  </w:rsids>
  <m:mathPr>
    <m:mathFont m:val="Cambria Math"/>
    <m:brkBin m:val="before"/>
    <m:brkBinSub m:val="--"/>
    <m:smallFrac/>
    <m:dispDef/>
    <m:lMargin m:val="0"/>
    <m:rMargin m:val="0"/>
    <m:defJc m:val="centerGroup"/>
    <m:wrapIndent m:val="1440"/>
    <m:intLim m:val="subSup"/>
    <m:naryLim m:val="undOvr"/>
  </m:mathPr>
  <w:themeFontLang w:val="pt-BR" w:eastAsia="zh-CN"/>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nhideWhenUsed="0" w:qFormat="1"/>
    <w:lsdException w:name="Emphasis" w:semiHidden="0" w:uiPriority="20" w:unhideWhenUsed="0" w:qFormat="1"/>
    <w:lsdException w:name="Document Map"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67DF"/>
    <w:pPr>
      <w:spacing w:line="360" w:lineRule="auto"/>
      <w:jc w:val="center"/>
    </w:pPr>
    <w:rPr>
      <w:rFonts w:ascii="Arial" w:eastAsia="Times New Roman" w:hAnsi="Arial" w:cs="Arial"/>
    </w:rPr>
  </w:style>
  <w:style w:type="paragraph" w:styleId="Ttulo1">
    <w:name w:val="heading 1"/>
    <w:basedOn w:val="Normal"/>
    <w:next w:val="Normal"/>
    <w:link w:val="Ttulo1Char"/>
    <w:uiPriority w:val="99"/>
    <w:qFormat/>
    <w:rsid w:val="00E667DF"/>
    <w:pPr>
      <w:keepNext/>
      <w:numPr>
        <w:numId w:val="1"/>
      </w:numPr>
      <w:pBdr>
        <w:bottom w:val="single" w:sz="8" w:space="1" w:color="auto"/>
      </w:pBdr>
      <w:tabs>
        <w:tab w:val="clear" w:pos="6528"/>
        <w:tab w:val="num" w:pos="0"/>
      </w:tabs>
      <w:spacing w:before="240" w:after="240"/>
      <w:ind w:left="0" w:firstLine="0"/>
      <w:jc w:val="right"/>
      <w:outlineLvl w:val="0"/>
    </w:pPr>
    <w:rPr>
      <w:rFonts w:cs="Times New Roman"/>
      <w:b/>
      <w:bCs/>
      <w:caps/>
      <w:kern w:val="32"/>
      <w:sz w:val="24"/>
      <w:szCs w:val="24"/>
    </w:rPr>
  </w:style>
  <w:style w:type="paragraph" w:styleId="Ttulo2">
    <w:name w:val="heading 2"/>
    <w:basedOn w:val="Normal"/>
    <w:next w:val="Normal"/>
    <w:link w:val="Ttulo2Char"/>
    <w:uiPriority w:val="99"/>
    <w:qFormat/>
    <w:rsid w:val="006F60B2"/>
    <w:pPr>
      <w:keepNext/>
      <w:numPr>
        <w:ilvl w:val="1"/>
        <w:numId w:val="3"/>
      </w:numPr>
      <w:spacing w:before="240" w:after="240"/>
      <w:jc w:val="both"/>
      <w:outlineLvl w:val="1"/>
    </w:pPr>
    <w:rPr>
      <w:rFonts w:cs="Times New Roman"/>
      <w:b/>
      <w:bCs/>
      <w:iCs/>
      <w:sz w:val="24"/>
      <w:szCs w:val="24"/>
    </w:rPr>
  </w:style>
  <w:style w:type="paragraph" w:styleId="Ttulo3">
    <w:name w:val="heading 3"/>
    <w:aliases w:val="LEG TABELA"/>
    <w:basedOn w:val="Normal"/>
    <w:next w:val="Normal"/>
    <w:link w:val="Ttulo3Char"/>
    <w:uiPriority w:val="99"/>
    <w:qFormat/>
    <w:rsid w:val="00E667DF"/>
    <w:pPr>
      <w:keepNext/>
      <w:numPr>
        <w:ilvl w:val="2"/>
        <w:numId w:val="1"/>
      </w:numPr>
      <w:tabs>
        <w:tab w:val="clear" w:pos="720"/>
        <w:tab w:val="left" w:pos="907"/>
      </w:tabs>
      <w:spacing w:before="240" w:after="240"/>
      <w:jc w:val="both"/>
      <w:outlineLvl w:val="2"/>
    </w:pPr>
    <w:rPr>
      <w:rFonts w:cs="Times New Roman"/>
      <w:b/>
      <w:bCs/>
      <w:szCs w:val="26"/>
    </w:rPr>
  </w:style>
  <w:style w:type="paragraph" w:styleId="Ttulo4">
    <w:name w:val="heading 4"/>
    <w:aliases w:val="FONTE TABELA"/>
    <w:basedOn w:val="Normal"/>
    <w:next w:val="Normal"/>
    <w:link w:val="Ttulo4Char"/>
    <w:uiPriority w:val="99"/>
    <w:qFormat/>
    <w:rsid w:val="00E667DF"/>
    <w:pPr>
      <w:keepNext/>
      <w:numPr>
        <w:ilvl w:val="3"/>
        <w:numId w:val="1"/>
      </w:numPr>
      <w:spacing w:before="240" w:after="240"/>
      <w:ind w:left="862" w:hanging="862"/>
      <w:outlineLvl w:val="3"/>
    </w:pPr>
    <w:rPr>
      <w:rFonts w:cs="Times New Roman"/>
      <w:b/>
      <w:bCs/>
    </w:rPr>
  </w:style>
  <w:style w:type="paragraph" w:styleId="Ttulo5">
    <w:name w:val="heading 5"/>
    <w:aliases w:val="CORP TABELA"/>
    <w:basedOn w:val="Normal"/>
    <w:next w:val="Normal"/>
    <w:link w:val="Ttulo5Char"/>
    <w:qFormat/>
    <w:rsid w:val="00E667DF"/>
    <w:pPr>
      <w:numPr>
        <w:ilvl w:val="4"/>
        <w:numId w:val="1"/>
      </w:numPr>
      <w:tabs>
        <w:tab w:val="clear" w:pos="1008"/>
        <w:tab w:val="left" w:pos="1418"/>
      </w:tabs>
      <w:spacing w:before="240" w:after="240"/>
      <w:ind w:left="1009" w:hanging="1009"/>
      <w:outlineLvl w:val="4"/>
    </w:pPr>
    <w:rPr>
      <w:rFonts w:cs="Times New Roman"/>
      <w:b/>
      <w:bCs/>
      <w:iCs/>
    </w:rPr>
  </w:style>
  <w:style w:type="paragraph" w:styleId="Ttulo6">
    <w:name w:val="heading 6"/>
    <w:basedOn w:val="Normal"/>
    <w:next w:val="Normal"/>
    <w:link w:val="Ttulo6Char"/>
    <w:qFormat/>
    <w:rsid w:val="00E667DF"/>
    <w:pPr>
      <w:numPr>
        <w:ilvl w:val="5"/>
        <w:numId w:val="1"/>
      </w:numPr>
      <w:spacing w:before="240" w:after="60"/>
      <w:outlineLvl w:val="5"/>
    </w:pPr>
    <w:rPr>
      <w:rFonts w:ascii="Times New Roman" w:hAnsi="Times New Roman"/>
      <w:b/>
      <w:bCs/>
      <w:sz w:val="22"/>
      <w:szCs w:val="22"/>
    </w:rPr>
  </w:style>
  <w:style w:type="paragraph" w:styleId="Ttulo7">
    <w:name w:val="heading 7"/>
    <w:basedOn w:val="Normal"/>
    <w:next w:val="Normal"/>
    <w:link w:val="Ttulo7Char"/>
    <w:qFormat/>
    <w:rsid w:val="00E667DF"/>
    <w:pPr>
      <w:numPr>
        <w:ilvl w:val="6"/>
        <w:numId w:val="1"/>
      </w:numPr>
      <w:spacing w:before="240" w:after="60"/>
      <w:outlineLvl w:val="6"/>
    </w:pPr>
    <w:rPr>
      <w:rFonts w:ascii="Times New Roman" w:hAnsi="Times New Roman"/>
    </w:rPr>
  </w:style>
  <w:style w:type="paragraph" w:styleId="Ttulo8">
    <w:name w:val="heading 8"/>
    <w:basedOn w:val="Normal"/>
    <w:next w:val="Normal"/>
    <w:link w:val="Ttulo8Char"/>
    <w:qFormat/>
    <w:rsid w:val="00E667DF"/>
    <w:pPr>
      <w:numPr>
        <w:ilvl w:val="7"/>
        <w:numId w:val="1"/>
      </w:numPr>
      <w:spacing w:before="240" w:after="60"/>
      <w:outlineLvl w:val="7"/>
    </w:pPr>
    <w:rPr>
      <w:rFonts w:ascii="Times New Roman" w:hAnsi="Times New Roman"/>
      <w:i/>
      <w:iCs/>
    </w:rPr>
  </w:style>
  <w:style w:type="paragraph" w:styleId="Ttulo9">
    <w:name w:val="heading 9"/>
    <w:basedOn w:val="Normal"/>
    <w:next w:val="Normal"/>
    <w:link w:val="Ttulo9Char"/>
    <w:qFormat/>
    <w:rsid w:val="00E667DF"/>
    <w:pPr>
      <w:numPr>
        <w:ilvl w:val="8"/>
        <w:numId w:val="1"/>
      </w:numPr>
      <w:spacing w:before="240" w:after="60"/>
      <w:outlineLvl w:val="8"/>
    </w:pPr>
    <w:rPr>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uiPriority w:val="99"/>
    <w:rsid w:val="00E667DF"/>
    <w:rPr>
      <w:rFonts w:ascii="Arial" w:eastAsia="Times New Roman" w:hAnsi="Arial" w:cs="Times New Roman"/>
      <w:b/>
      <w:bCs/>
      <w:caps/>
      <w:kern w:val="32"/>
      <w:sz w:val="24"/>
      <w:szCs w:val="24"/>
      <w:lang w:eastAsia="pt-BR"/>
    </w:rPr>
  </w:style>
  <w:style w:type="character" w:customStyle="1" w:styleId="Ttulo2Char">
    <w:name w:val="Título 2 Char"/>
    <w:link w:val="Ttulo2"/>
    <w:uiPriority w:val="99"/>
    <w:rsid w:val="006F60B2"/>
    <w:rPr>
      <w:rFonts w:ascii="Arial" w:eastAsia="Times New Roman" w:hAnsi="Arial" w:cs="Times New Roman"/>
      <w:b/>
      <w:bCs/>
      <w:iCs/>
      <w:sz w:val="24"/>
      <w:szCs w:val="24"/>
      <w:lang w:eastAsia="pt-BR"/>
    </w:rPr>
  </w:style>
  <w:style w:type="character" w:customStyle="1" w:styleId="Ttulo3Char">
    <w:name w:val="Título 3 Char"/>
    <w:aliases w:val="LEG TABELA Char"/>
    <w:link w:val="Ttulo3"/>
    <w:uiPriority w:val="99"/>
    <w:rsid w:val="00E667DF"/>
    <w:rPr>
      <w:rFonts w:ascii="Arial" w:eastAsia="Times New Roman" w:hAnsi="Arial" w:cs="Times New Roman"/>
      <w:b/>
      <w:bCs/>
      <w:sz w:val="20"/>
      <w:szCs w:val="26"/>
      <w:lang w:eastAsia="pt-BR"/>
    </w:rPr>
  </w:style>
  <w:style w:type="character" w:customStyle="1" w:styleId="Ttulo4Char">
    <w:name w:val="Título 4 Char"/>
    <w:aliases w:val="FONTE TABELA Char"/>
    <w:link w:val="Ttulo4"/>
    <w:uiPriority w:val="99"/>
    <w:rsid w:val="00E667DF"/>
    <w:rPr>
      <w:rFonts w:ascii="Arial" w:eastAsia="Times New Roman" w:hAnsi="Arial" w:cs="Times New Roman"/>
      <w:b/>
      <w:bCs/>
      <w:sz w:val="20"/>
      <w:szCs w:val="20"/>
      <w:lang w:eastAsia="pt-BR"/>
    </w:rPr>
  </w:style>
  <w:style w:type="character" w:customStyle="1" w:styleId="Ttulo5Char">
    <w:name w:val="Título 5 Char"/>
    <w:aliases w:val="CORP TABELA Char"/>
    <w:link w:val="Ttulo5"/>
    <w:rsid w:val="00E667DF"/>
    <w:rPr>
      <w:rFonts w:ascii="Arial" w:eastAsia="Times New Roman" w:hAnsi="Arial" w:cs="Times New Roman"/>
      <w:b/>
      <w:bCs/>
      <w:iCs/>
      <w:sz w:val="20"/>
      <w:szCs w:val="20"/>
      <w:lang w:eastAsia="pt-BR"/>
    </w:rPr>
  </w:style>
  <w:style w:type="character" w:customStyle="1" w:styleId="Ttulo6Char">
    <w:name w:val="Título 6 Char"/>
    <w:link w:val="Ttulo6"/>
    <w:rsid w:val="00E667DF"/>
    <w:rPr>
      <w:rFonts w:ascii="Times New Roman" w:eastAsia="Times New Roman" w:hAnsi="Times New Roman" w:cs="Arial"/>
      <w:b/>
      <w:bCs/>
      <w:lang w:eastAsia="pt-BR"/>
    </w:rPr>
  </w:style>
  <w:style w:type="character" w:customStyle="1" w:styleId="Ttulo7Char">
    <w:name w:val="Título 7 Char"/>
    <w:link w:val="Ttulo7"/>
    <w:rsid w:val="00E667DF"/>
    <w:rPr>
      <w:rFonts w:ascii="Times New Roman" w:eastAsia="Times New Roman" w:hAnsi="Times New Roman" w:cs="Arial"/>
      <w:sz w:val="20"/>
      <w:szCs w:val="20"/>
      <w:lang w:eastAsia="pt-BR"/>
    </w:rPr>
  </w:style>
  <w:style w:type="character" w:customStyle="1" w:styleId="Ttulo8Char">
    <w:name w:val="Título 8 Char"/>
    <w:link w:val="Ttulo8"/>
    <w:rsid w:val="00E667DF"/>
    <w:rPr>
      <w:rFonts w:ascii="Times New Roman" w:eastAsia="Times New Roman" w:hAnsi="Times New Roman" w:cs="Arial"/>
      <w:i/>
      <w:iCs/>
      <w:sz w:val="20"/>
      <w:szCs w:val="20"/>
      <w:lang w:eastAsia="pt-BR"/>
    </w:rPr>
  </w:style>
  <w:style w:type="character" w:customStyle="1" w:styleId="Ttulo9Char">
    <w:name w:val="Título 9 Char"/>
    <w:link w:val="Ttulo9"/>
    <w:rsid w:val="00E667DF"/>
    <w:rPr>
      <w:rFonts w:ascii="Arial" w:eastAsia="Times New Roman" w:hAnsi="Arial" w:cs="Arial"/>
      <w:lang w:eastAsia="pt-BR"/>
    </w:rPr>
  </w:style>
  <w:style w:type="paragraph" w:styleId="Legenda">
    <w:name w:val="caption"/>
    <w:basedOn w:val="Normal"/>
    <w:next w:val="Normal"/>
    <w:link w:val="LegendaChar"/>
    <w:autoRedefine/>
    <w:uiPriority w:val="35"/>
    <w:qFormat/>
    <w:rsid w:val="00CD615C"/>
    <w:pPr>
      <w:keepNext/>
      <w:spacing w:before="120" w:after="120" w:line="240" w:lineRule="auto"/>
    </w:pPr>
    <w:rPr>
      <w:bCs/>
      <w:sz w:val="22"/>
      <w:szCs w:val="22"/>
    </w:rPr>
  </w:style>
  <w:style w:type="character" w:customStyle="1" w:styleId="LegendaChar">
    <w:name w:val="Legenda Char"/>
    <w:link w:val="Legenda"/>
    <w:uiPriority w:val="35"/>
    <w:rsid w:val="00CD615C"/>
    <w:rPr>
      <w:rFonts w:ascii="Arial" w:eastAsia="Times New Roman" w:hAnsi="Arial" w:cs="Arial"/>
      <w:bCs/>
      <w:sz w:val="22"/>
      <w:szCs w:val="22"/>
    </w:rPr>
  </w:style>
  <w:style w:type="paragraph" w:customStyle="1" w:styleId="CorpodeTextoCerroAzul">
    <w:name w:val="Corpo de Texto CerroAzul"/>
    <w:basedOn w:val="Normal"/>
    <w:link w:val="CorpodeTextoCerroAzulChar"/>
    <w:qFormat/>
    <w:rsid w:val="00E667DF"/>
    <w:pPr>
      <w:ind w:firstLine="567"/>
      <w:jc w:val="both"/>
    </w:pPr>
    <w:rPr>
      <w:rFonts w:cs="Times New Roman"/>
      <w:sz w:val="24"/>
      <w:szCs w:val="24"/>
    </w:rPr>
  </w:style>
  <w:style w:type="character" w:customStyle="1" w:styleId="CorpodeTextoCerroAzulChar">
    <w:name w:val="Corpo de Texto CerroAzul Char"/>
    <w:link w:val="CorpodeTextoCerroAzul"/>
    <w:rsid w:val="00E667DF"/>
    <w:rPr>
      <w:rFonts w:ascii="Arial" w:eastAsia="Times New Roman" w:hAnsi="Arial" w:cs="Times New Roman"/>
      <w:sz w:val="24"/>
      <w:szCs w:val="24"/>
      <w:lang w:eastAsia="pt-BR"/>
    </w:rPr>
  </w:style>
  <w:style w:type="paragraph" w:customStyle="1" w:styleId="Ttulo1Tagaaba">
    <w:name w:val="Título 1 Tagaçaba"/>
    <w:basedOn w:val="Ttulo1"/>
    <w:link w:val="Ttulo1TagaabaChar"/>
    <w:qFormat/>
    <w:rsid w:val="00E667DF"/>
    <w:rPr>
      <w:b w:val="0"/>
      <w:bCs w:val="0"/>
      <w:caps w:val="0"/>
    </w:rPr>
  </w:style>
  <w:style w:type="character" w:customStyle="1" w:styleId="Ttulo1TagaabaChar">
    <w:name w:val="Título 1 Tagaçaba Char"/>
    <w:link w:val="Ttulo1Tagaaba"/>
    <w:rsid w:val="00E667DF"/>
    <w:rPr>
      <w:rFonts w:ascii="Arial" w:eastAsia="Times New Roman" w:hAnsi="Arial" w:cs="Times New Roman"/>
      <w:kern w:val="32"/>
      <w:sz w:val="24"/>
      <w:szCs w:val="24"/>
      <w:lang w:eastAsia="pt-BR"/>
    </w:rPr>
  </w:style>
  <w:style w:type="paragraph" w:customStyle="1" w:styleId="LegendaCerroAzul">
    <w:name w:val="Legenda CerroAzul"/>
    <w:basedOn w:val="Legenda"/>
    <w:link w:val="LegendaCerroAzulChar"/>
    <w:qFormat/>
    <w:rsid w:val="00E667DF"/>
    <w:pPr>
      <w:framePr w:wrap="around" w:hAnchor="text"/>
    </w:pPr>
    <w:rPr>
      <w:bCs w:val="0"/>
      <w:color w:val="000000"/>
    </w:rPr>
  </w:style>
  <w:style w:type="character" w:customStyle="1" w:styleId="LegendaCerroAzulChar">
    <w:name w:val="Legenda CerroAzul Char"/>
    <w:link w:val="LegendaCerroAzul"/>
    <w:rsid w:val="00E667DF"/>
    <w:rPr>
      <w:rFonts w:ascii="Arial" w:eastAsia="Times New Roman" w:hAnsi="Arial" w:cs="Times New Roman"/>
      <w:color w:val="000000"/>
      <w:sz w:val="20"/>
      <w:szCs w:val="20"/>
      <w:lang w:eastAsia="pt-BR"/>
    </w:rPr>
  </w:style>
  <w:style w:type="paragraph" w:styleId="Textodebalo">
    <w:name w:val="Balloon Text"/>
    <w:basedOn w:val="Normal"/>
    <w:link w:val="TextodebaloChar"/>
    <w:uiPriority w:val="99"/>
    <w:semiHidden/>
    <w:unhideWhenUsed/>
    <w:rsid w:val="00E667DF"/>
    <w:pPr>
      <w:spacing w:line="240" w:lineRule="auto"/>
    </w:pPr>
    <w:rPr>
      <w:rFonts w:ascii="Tahoma" w:hAnsi="Tahoma" w:cs="Tahoma"/>
      <w:sz w:val="16"/>
      <w:szCs w:val="16"/>
    </w:rPr>
  </w:style>
  <w:style w:type="character" w:customStyle="1" w:styleId="TextodebaloChar">
    <w:name w:val="Texto de balão Char"/>
    <w:link w:val="Textodebalo"/>
    <w:uiPriority w:val="99"/>
    <w:semiHidden/>
    <w:rsid w:val="00E667DF"/>
    <w:rPr>
      <w:rFonts w:ascii="Tahoma" w:eastAsia="Times New Roman" w:hAnsi="Tahoma" w:cs="Tahoma"/>
      <w:sz w:val="16"/>
      <w:szCs w:val="16"/>
      <w:lang w:eastAsia="pt-BR"/>
    </w:rPr>
  </w:style>
  <w:style w:type="character" w:styleId="Hyperlink">
    <w:name w:val="Hyperlink"/>
    <w:uiPriority w:val="99"/>
    <w:unhideWhenUsed/>
    <w:rsid w:val="002206C0"/>
    <w:rPr>
      <w:color w:val="0000FF"/>
      <w:u w:val="single"/>
    </w:rPr>
  </w:style>
  <w:style w:type="character" w:styleId="HiperlinkVisitado">
    <w:name w:val="FollowedHyperlink"/>
    <w:uiPriority w:val="99"/>
    <w:unhideWhenUsed/>
    <w:rsid w:val="00597A3A"/>
    <w:rPr>
      <w:color w:val="800080"/>
      <w:u w:val="single"/>
    </w:rPr>
  </w:style>
  <w:style w:type="character" w:styleId="Refdecomentrio">
    <w:name w:val="annotation reference"/>
    <w:uiPriority w:val="99"/>
    <w:unhideWhenUsed/>
    <w:rsid w:val="009D04D0"/>
    <w:rPr>
      <w:sz w:val="16"/>
      <w:szCs w:val="16"/>
    </w:rPr>
  </w:style>
  <w:style w:type="paragraph" w:styleId="Textodecomentrio">
    <w:name w:val="annotation text"/>
    <w:basedOn w:val="Normal"/>
    <w:link w:val="TextodecomentrioChar"/>
    <w:unhideWhenUsed/>
    <w:rsid w:val="009D04D0"/>
    <w:pPr>
      <w:spacing w:line="240" w:lineRule="auto"/>
    </w:pPr>
  </w:style>
  <w:style w:type="character" w:customStyle="1" w:styleId="TextodecomentrioChar">
    <w:name w:val="Texto de comentário Char"/>
    <w:link w:val="Textodecomentrio"/>
    <w:rsid w:val="009D04D0"/>
    <w:rPr>
      <w:rFonts w:ascii="Arial" w:eastAsia="Times New Roman" w:hAnsi="Arial" w:cs="Arial"/>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D04D0"/>
    <w:rPr>
      <w:b/>
      <w:bCs/>
    </w:rPr>
  </w:style>
  <w:style w:type="character" w:customStyle="1" w:styleId="AssuntodocomentrioChar">
    <w:name w:val="Assunto do comentário Char"/>
    <w:link w:val="Assuntodocomentrio"/>
    <w:uiPriority w:val="99"/>
    <w:semiHidden/>
    <w:rsid w:val="009D04D0"/>
    <w:rPr>
      <w:rFonts w:ascii="Arial" w:eastAsia="Times New Roman" w:hAnsi="Arial" w:cs="Arial"/>
      <w:b/>
      <w:bCs/>
      <w:sz w:val="20"/>
      <w:szCs w:val="20"/>
      <w:lang w:eastAsia="pt-BR"/>
    </w:rPr>
  </w:style>
  <w:style w:type="character" w:customStyle="1" w:styleId="apple-converted-space">
    <w:name w:val="apple-converted-space"/>
    <w:basedOn w:val="Fontepargpadro"/>
    <w:rsid w:val="00F25254"/>
  </w:style>
  <w:style w:type="character" w:styleId="Forte">
    <w:name w:val="Strong"/>
    <w:uiPriority w:val="99"/>
    <w:qFormat/>
    <w:rsid w:val="00FF67BF"/>
    <w:rPr>
      <w:b/>
      <w:bCs/>
    </w:rPr>
  </w:style>
  <w:style w:type="table" w:customStyle="1" w:styleId="GradeClara1">
    <w:name w:val="Grade Clara1"/>
    <w:basedOn w:val="Tabelanormal"/>
    <w:uiPriority w:val="62"/>
    <w:rsid w:val="00A96B8E"/>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Tabelacomgrade">
    <w:name w:val="Table Grid"/>
    <w:basedOn w:val="Tabelanormal"/>
    <w:uiPriority w:val="39"/>
    <w:rsid w:val="00A74A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tulo2Tagaaba">
    <w:name w:val="Título 2 Tagaçaba"/>
    <w:basedOn w:val="Ttulo2"/>
    <w:link w:val="Ttulo2TagaabaChar"/>
    <w:qFormat/>
    <w:rsid w:val="00694A4F"/>
    <w:rPr>
      <w:bCs w:val="0"/>
      <w:iCs w:val="0"/>
      <w:caps/>
    </w:rPr>
  </w:style>
  <w:style w:type="character" w:customStyle="1" w:styleId="Ttulo2TagaabaChar">
    <w:name w:val="Título 2 Tagaçaba Char"/>
    <w:link w:val="Ttulo2Tagaaba"/>
    <w:rsid w:val="00694A4F"/>
    <w:rPr>
      <w:rFonts w:ascii="Arial" w:eastAsia="Times New Roman" w:hAnsi="Arial" w:cs="Times New Roman"/>
      <w:b/>
      <w:caps/>
      <w:sz w:val="24"/>
      <w:szCs w:val="24"/>
      <w:lang w:eastAsia="pt-BR"/>
    </w:rPr>
  </w:style>
  <w:style w:type="paragraph" w:styleId="Cabealho">
    <w:name w:val="header"/>
    <w:basedOn w:val="Normal"/>
    <w:link w:val="CabealhoChar"/>
    <w:uiPriority w:val="99"/>
    <w:unhideWhenUsed/>
    <w:rsid w:val="00694A4F"/>
    <w:pPr>
      <w:tabs>
        <w:tab w:val="center" w:pos="4252"/>
        <w:tab w:val="right" w:pos="8504"/>
      </w:tabs>
      <w:spacing w:line="240" w:lineRule="auto"/>
    </w:pPr>
  </w:style>
  <w:style w:type="character" w:customStyle="1" w:styleId="CabealhoChar">
    <w:name w:val="Cabeçalho Char"/>
    <w:link w:val="Cabealho"/>
    <w:uiPriority w:val="99"/>
    <w:rsid w:val="00694A4F"/>
    <w:rPr>
      <w:rFonts w:ascii="Arial" w:eastAsia="Times New Roman" w:hAnsi="Arial" w:cs="Arial"/>
      <w:sz w:val="20"/>
      <w:szCs w:val="20"/>
      <w:lang w:eastAsia="pt-BR"/>
    </w:rPr>
  </w:style>
  <w:style w:type="paragraph" w:styleId="Rodap">
    <w:name w:val="footer"/>
    <w:basedOn w:val="Normal"/>
    <w:link w:val="RodapChar"/>
    <w:uiPriority w:val="99"/>
    <w:unhideWhenUsed/>
    <w:rsid w:val="00694A4F"/>
    <w:pPr>
      <w:tabs>
        <w:tab w:val="center" w:pos="4252"/>
        <w:tab w:val="right" w:pos="8504"/>
      </w:tabs>
      <w:spacing w:line="240" w:lineRule="auto"/>
    </w:pPr>
  </w:style>
  <w:style w:type="character" w:customStyle="1" w:styleId="RodapChar">
    <w:name w:val="Rodapé Char"/>
    <w:link w:val="Rodap"/>
    <w:uiPriority w:val="99"/>
    <w:rsid w:val="00694A4F"/>
    <w:rPr>
      <w:rFonts w:ascii="Arial" w:eastAsia="Times New Roman" w:hAnsi="Arial" w:cs="Arial"/>
      <w:sz w:val="20"/>
      <w:szCs w:val="20"/>
      <w:lang w:eastAsia="pt-BR"/>
    </w:rPr>
  </w:style>
  <w:style w:type="paragraph" w:styleId="PargrafodaLista">
    <w:name w:val="List Paragraph"/>
    <w:basedOn w:val="Normal"/>
    <w:uiPriority w:val="34"/>
    <w:qFormat/>
    <w:rsid w:val="00ED5FDC"/>
    <w:pPr>
      <w:spacing w:after="160" w:line="259" w:lineRule="auto"/>
      <w:ind w:left="720"/>
      <w:contextualSpacing/>
      <w:jc w:val="left"/>
    </w:pPr>
    <w:rPr>
      <w:rFonts w:ascii="Calibri" w:eastAsia="Calibri" w:hAnsi="Calibri" w:cs="Times New Roman"/>
      <w:sz w:val="22"/>
      <w:szCs w:val="22"/>
      <w:lang w:eastAsia="en-US"/>
    </w:rPr>
  </w:style>
  <w:style w:type="character" w:customStyle="1" w:styleId="TextodenotaderodapChar">
    <w:name w:val="Texto de nota de rodapé Char"/>
    <w:aliases w:val="nota de rodapé Char"/>
    <w:link w:val="Textodenotaderodap"/>
    <w:uiPriority w:val="99"/>
    <w:rsid w:val="00ED5FDC"/>
    <w:rPr>
      <w:sz w:val="20"/>
      <w:szCs w:val="20"/>
    </w:rPr>
  </w:style>
  <w:style w:type="paragraph" w:styleId="Textodenotaderodap">
    <w:name w:val="footnote text"/>
    <w:aliases w:val="nota de rodapé"/>
    <w:basedOn w:val="Normal"/>
    <w:link w:val="TextodenotaderodapChar"/>
    <w:uiPriority w:val="99"/>
    <w:unhideWhenUsed/>
    <w:rsid w:val="00ED5FDC"/>
    <w:pPr>
      <w:spacing w:line="240" w:lineRule="auto"/>
      <w:jc w:val="left"/>
    </w:pPr>
    <w:rPr>
      <w:rFonts w:ascii="Calibri" w:eastAsia="Calibri" w:hAnsi="Calibri" w:cs="Times New Roman"/>
      <w:lang w:eastAsia="en-US"/>
    </w:rPr>
  </w:style>
  <w:style w:type="character" w:styleId="Refdenotaderodap">
    <w:name w:val="footnote reference"/>
    <w:uiPriority w:val="99"/>
    <w:unhideWhenUsed/>
    <w:rsid w:val="00ED5FDC"/>
    <w:rPr>
      <w:vertAlign w:val="superscript"/>
    </w:rPr>
  </w:style>
  <w:style w:type="paragraph" w:customStyle="1" w:styleId="Capaecontra-capa">
    <w:name w:val="Capa e contra-capa"/>
    <w:basedOn w:val="Normal"/>
    <w:rsid w:val="008F6315"/>
    <w:rPr>
      <w:b/>
      <w:bCs/>
    </w:rPr>
  </w:style>
  <w:style w:type="paragraph" w:customStyle="1" w:styleId="Ttulodetabela">
    <w:name w:val="Título de tabela"/>
    <w:basedOn w:val="Normal"/>
    <w:rsid w:val="00C76BB5"/>
    <w:rPr>
      <w:b/>
    </w:rPr>
  </w:style>
  <w:style w:type="paragraph" w:customStyle="1" w:styleId="Contedodetabela">
    <w:name w:val="Conteúdo de tabela"/>
    <w:basedOn w:val="Normal"/>
    <w:rsid w:val="00C76BB5"/>
    <w:pPr>
      <w:spacing w:line="240" w:lineRule="auto"/>
    </w:pPr>
  </w:style>
  <w:style w:type="character" w:styleId="Nmerodepgina">
    <w:name w:val="page number"/>
    <w:rsid w:val="00C76BB5"/>
    <w:rPr>
      <w:rFonts w:ascii="Verdana" w:hAnsi="Verdana"/>
      <w:sz w:val="20"/>
    </w:rPr>
  </w:style>
  <w:style w:type="paragraph" w:styleId="Sumrio1">
    <w:name w:val="toc 1"/>
    <w:basedOn w:val="Normal"/>
    <w:next w:val="Normal"/>
    <w:autoRedefine/>
    <w:uiPriority w:val="39"/>
    <w:qFormat/>
    <w:rsid w:val="00132322"/>
    <w:pPr>
      <w:tabs>
        <w:tab w:val="left" w:pos="720"/>
        <w:tab w:val="right" w:pos="9061"/>
      </w:tabs>
      <w:spacing w:line="240" w:lineRule="auto"/>
      <w:jc w:val="right"/>
    </w:pPr>
    <w:rPr>
      <w:b/>
      <w:caps/>
      <w:noProof/>
    </w:rPr>
  </w:style>
  <w:style w:type="paragraph" w:styleId="Sumrio2">
    <w:name w:val="toc 2"/>
    <w:basedOn w:val="Normal"/>
    <w:next w:val="Normal"/>
    <w:autoRedefine/>
    <w:uiPriority w:val="39"/>
    <w:qFormat/>
    <w:rsid w:val="00956D99"/>
    <w:pPr>
      <w:tabs>
        <w:tab w:val="left" w:pos="1000"/>
        <w:tab w:val="right" w:pos="9061"/>
      </w:tabs>
      <w:jc w:val="left"/>
    </w:pPr>
    <w:rPr>
      <w:caps/>
      <w:noProof/>
      <w:snapToGrid w:val="0"/>
      <w:w w:val="0"/>
    </w:rPr>
  </w:style>
  <w:style w:type="paragraph" w:styleId="Sumrio3">
    <w:name w:val="toc 3"/>
    <w:basedOn w:val="Normal"/>
    <w:next w:val="Normal"/>
    <w:autoRedefine/>
    <w:uiPriority w:val="39"/>
    <w:qFormat/>
    <w:rsid w:val="00C76BB5"/>
    <w:pPr>
      <w:jc w:val="left"/>
    </w:pPr>
    <w:rPr>
      <w:smallCaps/>
    </w:rPr>
  </w:style>
  <w:style w:type="paragraph" w:styleId="Sumrio4">
    <w:name w:val="toc 4"/>
    <w:basedOn w:val="Normal"/>
    <w:next w:val="Normal"/>
    <w:autoRedefine/>
    <w:uiPriority w:val="39"/>
    <w:rsid w:val="00C76BB5"/>
    <w:pPr>
      <w:jc w:val="left"/>
    </w:pPr>
  </w:style>
  <w:style w:type="paragraph" w:customStyle="1" w:styleId="Ttulodesumrio">
    <w:name w:val="Título de sumário"/>
    <w:basedOn w:val="Normal"/>
    <w:rsid w:val="00C76BB5"/>
    <w:pPr>
      <w:pBdr>
        <w:bottom w:val="single" w:sz="4" w:space="1" w:color="auto"/>
      </w:pBdr>
      <w:jc w:val="right"/>
    </w:pPr>
    <w:rPr>
      <w:b/>
      <w:caps/>
    </w:rPr>
  </w:style>
  <w:style w:type="paragraph" w:styleId="MapadoDocumento">
    <w:name w:val="Document Map"/>
    <w:basedOn w:val="Normal"/>
    <w:link w:val="MapadoDocumentoChar"/>
    <w:semiHidden/>
    <w:rsid w:val="00C76BB5"/>
    <w:pPr>
      <w:shd w:val="clear" w:color="auto" w:fill="000080"/>
    </w:pPr>
    <w:rPr>
      <w:rFonts w:ascii="Tahoma" w:hAnsi="Tahoma" w:cs="Times New Roman"/>
    </w:rPr>
  </w:style>
  <w:style w:type="character" w:customStyle="1" w:styleId="MapadoDocumentoChar">
    <w:name w:val="Mapa do Documento Char"/>
    <w:link w:val="MapadoDocumento"/>
    <w:semiHidden/>
    <w:rsid w:val="00C76BB5"/>
    <w:rPr>
      <w:rFonts w:ascii="Tahoma" w:eastAsia="Times New Roman" w:hAnsi="Tahoma" w:cs="Times New Roman"/>
      <w:sz w:val="20"/>
      <w:szCs w:val="20"/>
      <w:shd w:val="clear" w:color="auto" w:fill="000080"/>
    </w:rPr>
  </w:style>
  <w:style w:type="paragraph" w:styleId="ndicedeilustraes">
    <w:name w:val="table of figures"/>
    <w:basedOn w:val="Normal"/>
    <w:next w:val="Normal"/>
    <w:autoRedefine/>
    <w:uiPriority w:val="99"/>
    <w:rsid w:val="00E71E66"/>
    <w:pPr>
      <w:tabs>
        <w:tab w:val="right" w:leader="underscore" w:pos="9061"/>
      </w:tabs>
      <w:jc w:val="both"/>
    </w:pPr>
    <w:rPr>
      <w:smallCaps/>
    </w:rPr>
  </w:style>
  <w:style w:type="paragraph" w:styleId="Sumrio5">
    <w:name w:val="toc 5"/>
    <w:basedOn w:val="Normal"/>
    <w:next w:val="Normal"/>
    <w:autoRedefine/>
    <w:uiPriority w:val="39"/>
    <w:rsid w:val="00C76BB5"/>
    <w:pPr>
      <w:jc w:val="left"/>
    </w:pPr>
  </w:style>
  <w:style w:type="paragraph" w:customStyle="1" w:styleId="titulorel">
    <w:name w:val="titulo_rel"/>
    <w:basedOn w:val="Normal"/>
    <w:rsid w:val="00C76BB5"/>
    <w:pPr>
      <w:spacing w:before="2040" w:after="280" w:line="240" w:lineRule="auto"/>
      <w:ind w:left="1418" w:right="1508"/>
    </w:pPr>
    <w:rPr>
      <w:rFonts w:ascii="Times New Roman" w:hAnsi="Times New Roman"/>
      <w:b/>
      <w:sz w:val="36"/>
      <w:u w:val="single"/>
    </w:rPr>
  </w:style>
  <w:style w:type="paragraph" w:customStyle="1" w:styleId="resumoautor">
    <w:name w:val="resumo_autor"/>
    <w:basedOn w:val="Normal"/>
    <w:rsid w:val="00C76BB5"/>
    <w:pPr>
      <w:spacing w:after="120" w:line="240" w:lineRule="auto"/>
    </w:pPr>
    <w:rPr>
      <w:rFonts w:ascii="Times New Roman" w:hAnsi="Times New Roman"/>
    </w:rPr>
  </w:style>
  <w:style w:type="paragraph" w:customStyle="1" w:styleId="resumotit1">
    <w:name w:val="resumo_tit1"/>
    <w:basedOn w:val="resumoautor"/>
    <w:rsid w:val="00C76BB5"/>
  </w:style>
  <w:style w:type="paragraph" w:customStyle="1" w:styleId="resumocorpo">
    <w:name w:val="resumo_corpo"/>
    <w:basedOn w:val="Normal"/>
    <w:rsid w:val="00C76BB5"/>
    <w:pPr>
      <w:spacing w:line="240" w:lineRule="auto"/>
      <w:ind w:firstLine="340"/>
    </w:pPr>
    <w:rPr>
      <w:rFonts w:ascii="Times New Roman" w:hAnsi="Times New Roman"/>
    </w:rPr>
  </w:style>
  <w:style w:type="paragraph" w:customStyle="1" w:styleId="TituloRel1">
    <w:name w:val="Titulo Rel1"/>
    <w:basedOn w:val="Normal"/>
    <w:next w:val="corpodetextoCharChar"/>
    <w:rsid w:val="00C76BB5"/>
    <w:pPr>
      <w:numPr>
        <w:numId w:val="5"/>
      </w:numPr>
      <w:spacing w:before="480" w:after="240" w:line="240" w:lineRule="auto"/>
      <w:jc w:val="left"/>
    </w:pPr>
    <w:rPr>
      <w:rFonts w:ascii="Times New Roman" w:hAnsi="Times New Roman"/>
      <w:b/>
      <w:caps/>
      <w:sz w:val="32"/>
    </w:rPr>
  </w:style>
  <w:style w:type="paragraph" w:customStyle="1" w:styleId="corpodetextoCharChar">
    <w:name w:val="corpo de texto Char Char"/>
    <w:basedOn w:val="Normal"/>
    <w:link w:val="corpodetextoCharCharChar"/>
    <w:rsid w:val="00C76BB5"/>
    <w:pPr>
      <w:ind w:firstLine="709"/>
    </w:pPr>
    <w:rPr>
      <w:rFonts w:ascii="Times New Roman" w:hAnsi="Times New Roman" w:cs="Times New Roman"/>
      <w:sz w:val="24"/>
    </w:rPr>
  </w:style>
  <w:style w:type="character" w:customStyle="1" w:styleId="corpodetextoCharCharChar">
    <w:name w:val="corpo de texto Char Char Char"/>
    <w:link w:val="corpodetextoCharChar"/>
    <w:rsid w:val="00C76BB5"/>
    <w:rPr>
      <w:rFonts w:ascii="Times New Roman" w:eastAsia="Times New Roman" w:hAnsi="Times New Roman" w:cs="Times New Roman"/>
      <w:sz w:val="24"/>
      <w:szCs w:val="20"/>
      <w:lang w:eastAsia="pt-BR"/>
    </w:rPr>
  </w:style>
  <w:style w:type="paragraph" w:customStyle="1" w:styleId="FiguraChar">
    <w:name w:val="Figura Char"/>
    <w:basedOn w:val="Normal"/>
    <w:next w:val="corpodetextoCharChar"/>
    <w:link w:val="FiguraCharChar"/>
    <w:rsid w:val="00C76BB5"/>
    <w:pPr>
      <w:keepNext/>
      <w:spacing w:line="240" w:lineRule="auto"/>
      <w:ind w:left="1134" w:hanging="1134"/>
    </w:pPr>
    <w:rPr>
      <w:rFonts w:ascii="Times New Roman" w:hAnsi="Times New Roman" w:cs="Times New Roman"/>
      <w:sz w:val="24"/>
    </w:rPr>
  </w:style>
  <w:style w:type="character" w:customStyle="1" w:styleId="FiguraCharChar">
    <w:name w:val="Figura Char Char"/>
    <w:link w:val="FiguraChar"/>
    <w:rsid w:val="00C76BB5"/>
    <w:rPr>
      <w:rFonts w:ascii="Times New Roman" w:eastAsia="Times New Roman" w:hAnsi="Times New Roman" w:cs="Times New Roman"/>
      <w:sz w:val="24"/>
      <w:szCs w:val="20"/>
      <w:lang w:eastAsia="pt-BR"/>
    </w:rPr>
  </w:style>
  <w:style w:type="paragraph" w:customStyle="1" w:styleId="TituloRel2">
    <w:name w:val="Titulo Rel2"/>
    <w:basedOn w:val="Normal"/>
    <w:next w:val="corpodetextoCharChar"/>
    <w:rsid w:val="00C76BB5"/>
    <w:pPr>
      <w:numPr>
        <w:ilvl w:val="1"/>
        <w:numId w:val="5"/>
      </w:numPr>
      <w:spacing w:before="480" w:after="240" w:line="240" w:lineRule="auto"/>
      <w:ind w:left="578" w:hanging="578"/>
      <w:jc w:val="left"/>
    </w:pPr>
    <w:rPr>
      <w:rFonts w:ascii="Times New Roman" w:hAnsi="Times New Roman"/>
      <w:b/>
      <w:sz w:val="28"/>
    </w:rPr>
  </w:style>
  <w:style w:type="paragraph" w:customStyle="1" w:styleId="tabela">
    <w:name w:val="tabela"/>
    <w:basedOn w:val="Normal"/>
    <w:qFormat/>
    <w:rsid w:val="00C76BB5"/>
    <w:pPr>
      <w:spacing w:before="480" w:after="240" w:line="240" w:lineRule="auto"/>
      <w:ind w:left="1134" w:hanging="1134"/>
      <w:jc w:val="left"/>
    </w:pPr>
    <w:rPr>
      <w:rFonts w:ascii="Times New Roman" w:hAnsi="Times New Roman"/>
    </w:rPr>
  </w:style>
  <w:style w:type="paragraph" w:customStyle="1" w:styleId="tabelacont">
    <w:name w:val="tabela_cont"/>
    <w:basedOn w:val="Normal"/>
    <w:rsid w:val="00C76BB5"/>
    <w:pPr>
      <w:spacing w:line="240" w:lineRule="auto"/>
      <w:jc w:val="left"/>
    </w:pPr>
    <w:rPr>
      <w:rFonts w:ascii="Times New Roman" w:hAnsi="Times New Roman"/>
    </w:rPr>
  </w:style>
  <w:style w:type="paragraph" w:customStyle="1" w:styleId="TituloRel3">
    <w:name w:val="Titulo Rel3"/>
    <w:basedOn w:val="Normal"/>
    <w:next w:val="corpodetextoCharChar"/>
    <w:rsid w:val="00C76BB5"/>
    <w:pPr>
      <w:numPr>
        <w:ilvl w:val="2"/>
        <w:numId w:val="5"/>
      </w:numPr>
      <w:spacing w:before="240" w:after="120" w:line="240" w:lineRule="auto"/>
      <w:jc w:val="left"/>
    </w:pPr>
    <w:rPr>
      <w:rFonts w:ascii="Times New Roman" w:hAnsi="Times New Roman"/>
      <w:b/>
      <w:i/>
    </w:rPr>
  </w:style>
  <w:style w:type="paragraph" w:customStyle="1" w:styleId="TituloRel4">
    <w:name w:val="Titulo Rel4"/>
    <w:basedOn w:val="Normal"/>
    <w:next w:val="corpodetextoCharChar"/>
    <w:rsid w:val="00C76BB5"/>
    <w:pPr>
      <w:numPr>
        <w:ilvl w:val="4"/>
        <w:numId w:val="5"/>
      </w:numPr>
      <w:tabs>
        <w:tab w:val="clear" w:pos="1440"/>
        <w:tab w:val="num" w:pos="1080"/>
      </w:tabs>
      <w:spacing w:before="120" w:after="120" w:line="240" w:lineRule="auto"/>
      <w:ind w:left="864" w:hanging="864"/>
      <w:jc w:val="left"/>
    </w:pPr>
    <w:rPr>
      <w:rFonts w:ascii="Times New Roman" w:hAnsi="Times New Roman"/>
      <w:i/>
    </w:rPr>
  </w:style>
  <w:style w:type="paragraph" w:customStyle="1" w:styleId="referenciaCharCharChar">
    <w:name w:val="referencia Char Char Char"/>
    <w:basedOn w:val="corpodetextoCharChar"/>
    <w:link w:val="referenciaCharCharCharChar"/>
    <w:rsid w:val="00C76BB5"/>
    <w:pPr>
      <w:spacing w:after="200" w:line="276" w:lineRule="auto"/>
      <w:ind w:firstLine="0"/>
    </w:pPr>
  </w:style>
  <w:style w:type="character" w:customStyle="1" w:styleId="referenciaCharCharCharChar">
    <w:name w:val="referencia Char Char Char Char"/>
    <w:link w:val="referenciaCharCharChar"/>
    <w:rsid w:val="00C76BB5"/>
    <w:rPr>
      <w:rFonts w:ascii="Times New Roman" w:eastAsia="Times New Roman" w:hAnsi="Times New Roman" w:cs="Times New Roman"/>
      <w:sz w:val="24"/>
      <w:szCs w:val="20"/>
      <w:lang w:eastAsia="pt-BR"/>
    </w:rPr>
  </w:style>
  <w:style w:type="paragraph" w:customStyle="1" w:styleId="Marcador">
    <w:name w:val="Marcador"/>
    <w:basedOn w:val="corpodetextoCharChar"/>
    <w:rsid w:val="00C76BB5"/>
    <w:pPr>
      <w:numPr>
        <w:numId w:val="6"/>
      </w:numPr>
      <w:tabs>
        <w:tab w:val="clear" w:pos="927"/>
        <w:tab w:val="num" w:pos="720"/>
      </w:tabs>
      <w:spacing w:before="20" w:after="60" w:line="336" w:lineRule="auto"/>
      <w:ind w:left="924" w:hanging="357"/>
    </w:pPr>
  </w:style>
  <w:style w:type="paragraph" w:customStyle="1" w:styleId="titulorelnome">
    <w:name w:val="titulo_rel_nome"/>
    <w:basedOn w:val="titulorel"/>
    <w:rsid w:val="00C76BB5"/>
  </w:style>
  <w:style w:type="paragraph" w:customStyle="1" w:styleId="sumario">
    <w:name w:val="sumario"/>
    <w:basedOn w:val="Normal"/>
    <w:rsid w:val="00C76BB5"/>
    <w:pPr>
      <w:spacing w:before="240" w:after="120" w:line="240" w:lineRule="auto"/>
      <w:jc w:val="left"/>
    </w:pPr>
    <w:rPr>
      <w:rFonts w:ascii="Times New Roman" w:hAnsi="Times New Roman"/>
      <w:b/>
      <w:sz w:val="32"/>
    </w:rPr>
  </w:style>
  <w:style w:type="paragraph" w:customStyle="1" w:styleId="tituloresumo">
    <w:name w:val="titulo_resumo"/>
    <w:basedOn w:val="titulorel"/>
    <w:rsid w:val="00C76BB5"/>
  </w:style>
  <w:style w:type="paragraph" w:styleId="Sumrio6">
    <w:name w:val="toc 6"/>
    <w:basedOn w:val="Normal"/>
    <w:next w:val="Normal"/>
    <w:autoRedefine/>
    <w:uiPriority w:val="39"/>
    <w:rsid w:val="00C76BB5"/>
    <w:pPr>
      <w:spacing w:line="240" w:lineRule="auto"/>
      <w:ind w:left="1000"/>
      <w:jc w:val="left"/>
    </w:pPr>
    <w:rPr>
      <w:rFonts w:ascii="Times New Roman" w:hAnsi="Times New Roman"/>
    </w:rPr>
  </w:style>
  <w:style w:type="paragraph" w:customStyle="1" w:styleId="TituloRel5">
    <w:name w:val="Titulo Rel5"/>
    <w:basedOn w:val="Normal"/>
    <w:next w:val="corpodetextoCharChar"/>
    <w:rsid w:val="00C76BB5"/>
    <w:pPr>
      <w:tabs>
        <w:tab w:val="num" w:pos="1440"/>
      </w:tabs>
      <w:spacing w:before="120" w:after="120" w:line="240" w:lineRule="auto"/>
      <w:ind w:left="1008" w:hanging="1008"/>
      <w:jc w:val="left"/>
    </w:pPr>
    <w:rPr>
      <w:rFonts w:ascii="Times New Roman" w:hAnsi="Times New Roman"/>
    </w:rPr>
  </w:style>
  <w:style w:type="paragraph" w:styleId="Sumrio7">
    <w:name w:val="toc 7"/>
    <w:basedOn w:val="Normal"/>
    <w:next w:val="Normal"/>
    <w:autoRedefine/>
    <w:uiPriority w:val="39"/>
    <w:rsid w:val="00C76BB5"/>
    <w:pPr>
      <w:spacing w:line="240" w:lineRule="auto"/>
      <w:ind w:left="1200"/>
      <w:jc w:val="left"/>
    </w:pPr>
    <w:rPr>
      <w:rFonts w:ascii="Times New Roman" w:hAnsi="Times New Roman"/>
    </w:rPr>
  </w:style>
  <w:style w:type="paragraph" w:styleId="Sumrio8">
    <w:name w:val="toc 8"/>
    <w:basedOn w:val="Normal"/>
    <w:next w:val="Normal"/>
    <w:autoRedefine/>
    <w:uiPriority w:val="39"/>
    <w:rsid w:val="00C76BB5"/>
    <w:pPr>
      <w:spacing w:line="240" w:lineRule="auto"/>
      <w:ind w:left="1400"/>
      <w:jc w:val="left"/>
    </w:pPr>
    <w:rPr>
      <w:rFonts w:ascii="Times New Roman" w:hAnsi="Times New Roman"/>
    </w:rPr>
  </w:style>
  <w:style w:type="paragraph" w:styleId="Sumrio9">
    <w:name w:val="toc 9"/>
    <w:basedOn w:val="Normal"/>
    <w:next w:val="Normal"/>
    <w:autoRedefine/>
    <w:uiPriority w:val="39"/>
    <w:rsid w:val="00C76BB5"/>
    <w:pPr>
      <w:spacing w:line="240" w:lineRule="auto"/>
      <w:ind w:left="1600"/>
      <w:jc w:val="left"/>
    </w:pPr>
    <w:rPr>
      <w:rFonts w:ascii="Times New Roman" w:hAnsi="Times New Roman"/>
    </w:rPr>
  </w:style>
  <w:style w:type="paragraph" w:styleId="Recuodecorpodetexto">
    <w:name w:val="Body Text Indent"/>
    <w:basedOn w:val="Normal"/>
    <w:link w:val="RecuodecorpodetextoChar"/>
    <w:rsid w:val="00C76BB5"/>
    <w:pPr>
      <w:spacing w:line="276" w:lineRule="auto"/>
      <w:ind w:firstLine="709"/>
    </w:pPr>
    <w:rPr>
      <w:rFonts w:ascii="Times New Roman" w:hAnsi="Times New Roman" w:cs="Times New Roman"/>
      <w:sz w:val="24"/>
      <w:szCs w:val="24"/>
    </w:rPr>
  </w:style>
  <w:style w:type="character" w:customStyle="1" w:styleId="RecuodecorpodetextoChar">
    <w:name w:val="Recuo de corpo de texto Char"/>
    <w:link w:val="Recuodecorpodetexto"/>
    <w:rsid w:val="00C76BB5"/>
    <w:rPr>
      <w:rFonts w:ascii="Times New Roman" w:eastAsia="Times New Roman" w:hAnsi="Times New Roman" w:cs="Times New Roman"/>
      <w:sz w:val="24"/>
      <w:szCs w:val="24"/>
      <w:lang w:eastAsia="pt-BR"/>
    </w:rPr>
  </w:style>
  <w:style w:type="paragraph" w:customStyle="1" w:styleId="corpodetabela">
    <w:name w:val="corpo de tabela"/>
    <w:basedOn w:val="corpodetextoCharChar"/>
    <w:rsid w:val="00C76BB5"/>
    <w:pPr>
      <w:spacing w:before="40" w:after="40" w:line="240" w:lineRule="auto"/>
      <w:ind w:firstLine="0"/>
    </w:pPr>
    <w:rPr>
      <w:sz w:val="22"/>
    </w:rPr>
  </w:style>
  <w:style w:type="paragraph" w:styleId="Recuodecorpodetexto3">
    <w:name w:val="Body Text Indent 3"/>
    <w:basedOn w:val="Normal"/>
    <w:link w:val="Recuodecorpodetexto3Char"/>
    <w:rsid w:val="00C76BB5"/>
    <w:pPr>
      <w:ind w:firstLine="709"/>
    </w:pPr>
    <w:rPr>
      <w:rFonts w:ascii="Times New Roman" w:hAnsi="Times New Roman" w:cs="Times New Roman"/>
      <w:sz w:val="24"/>
    </w:rPr>
  </w:style>
  <w:style w:type="character" w:customStyle="1" w:styleId="Recuodecorpodetexto3Char">
    <w:name w:val="Recuo de corpo de texto 3 Char"/>
    <w:link w:val="Recuodecorpodetexto3"/>
    <w:rsid w:val="00C76BB5"/>
    <w:rPr>
      <w:rFonts w:ascii="Times New Roman" w:eastAsia="Times New Roman" w:hAnsi="Times New Roman" w:cs="Times New Roman"/>
      <w:sz w:val="24"/>
      <w:szCs w:val="20"/>
      <w:lang w:eastAsia="pt-BR"/>
    </w:rPr>
  </w:style>
  <w:style w:type="paragraph" w:customStyle="1" w:styleId="citaoCharChar">
    <w:name w:val="citação Char Char"/>
    <w:basedOn w:val="corpodetextoCharChar"/>
    <w:link w:val="citaoCharCharChar"/>
    <w:rsid w:val="00C76BB5"/>
    <w:rPr>
      <w:smallCaps/>
    </w:rPr>
  </w:style>
  <w:style w:type="character" w:customStyle="1" w:styleId="citaoCharCharChar">
    <w:name w:val="citação Char Char Char"/>
    <w:link w:val="citaoCharChar"/>
    <w:rsid w:val="00C76BB5"/>
    <w:rPr>
      <w:rFonts w:ascii="Times New Roman" w:eastAsia="Times New Roman" w:hAnsi="Times New Roman" w:cs="Times New Roman"/>
      <w:smallCaps/>
      <w:sz w:val="24"/>
      <w:szCs w:val="20"/>
      <w:lang w:eastAsia="pt-BR"/>
    </w:rPr>
  </w:style>
  <w:style w:type="paragraph" w:customStyle="1" w:styleId="Fonte">
    <w:name w:val="Fonte"/>
    <w:basedOn w:val="corpodetextoCharChar"/>
    <w:rsid w:val="00C76BB5"/>
    <w:pPr>
      <w:spacing w:before="60" w:after="300" w:line="240" w:lineRule="auto"/>
      <w:ind w:left="567" w:right="567" w:firstLine="0"/>
    </w:pPr>
  </w:style>
  <w:style w:type="paragraph" w:styleId="Recuodecorpodetexto2">
    <w:name w:val="Body Text Indent 2"/>
    <w:basedOn w:val="Normal"/>
    <w:link w:val="Recuodecorpodetexto2Char"/>
    <w:rsid w:val="00C76BB5"/>
    <w:pPr>
      <w:tabs>
        <w:tab w:val="left" w:pos="709"/>
      </w:tabs>
      <w:ind w:firstLine="709"/>
      <w:jc w:val="left"/>
    </w:pPr>
    <w:rPr>
      <w:rFonts w:ascii="Times New Roman" w:hAnsi="Times New Roman" w:cs="Times New Roman"/>
      <w:sz w:val="24"/>
    </w:rPr>
  </w:style>
  <w:style w:type="character" w:customStyle="1" w:styleId="Recuodecorpodetexto2Char">
    <w:name w:val="Recuo de corpo de texto 2 Char"/>
    <w:link w:val="Recuodecorpodetexto2"/>
    <w:rsid w:val="00C76BB5"/>
    <w:rPr>
      <w:rFonts w:ascii="Times New Roman" w:eastAsia="Times New Roman" w:hAnsi="Times New Roman" w:cs="Times New Roman"/>
      <w:sz w:val="24"/>
      <w:szCs w:val="20"/>
      <w:lang w:eastAsia="pt-BR"/>
    </w:rPr>
  </w:style>
  <w:style w:type="paragraph" w:customStyle="1" w:styleId="textocitado">
    <w:name w:val="texto citado"/>
    <w:basedOn w:val="corpodetextoCharChar"/>
    <w:rsid w:val="00C76BB5"/>
    <w:pPr>
      <w:spacing w:before="100" w:after="200" w:line="264" w:lineRule="auto"/>
      <w:ind w:left="567" w:right="567" w:firstLine="0"/>
    </w:pPr>
    <w:rPr>
      <w:sz w:val="22"/>
    </w:rPr>
  </w:style>
  <w:style w:type="paragraph" w:styleId="Corpodetexto2">
    <w:name w:val="Body Text 2"/>
    <w:basedOn w:val="Normal"/>
    <w:link w:val="Corpodetexto2Char"/>
    <w:rsid w:val="00C76BB5"/>
    <w:pPr>
      <w:spacing w:after="120" w:line="480" w:lineRule="auto"/>
      <w:jc w:val="left"/>
    </w:pPr>
    <w:rPr>
      <w:rFonts w:ascii="Times New Roman" w:hAnsi="Times New Roman" w:cs="Times New Roman"/>
      <w:sz w:val="24"/>
      <w:szCs w:val="24"/>
    </w:rPr>
  </w:style>
  <w:style w:type="character" w:customStyle="1" w:styleId="Corpodetexto2Char">
    <w:name w:val="Corpo de texto 2 Char"/>
    <w:link w:val="Corpodetexto2"/>
    <w:rsid w:val="00C76BB5"/>
    <w:rPr>
      <w:rFonts w:ascii="Times New Roman" w:eastAsia="Times New Roman" w:hAnsi="Times New Roman" w:cs="Times New Roman"/>
      <w:sz w:val="24"/>
      <w:szCs w:val="24"/>
      <w:lang w:eastAsia="pt-BR"/>
    </w:rPr>
  </w:style>
  <w:style w:type="paragraph" w:styleId="Corpodetexto">
    <w:name w:val="Body Text"/>
    <w:basedOn w:val="Normal"/>
    <w:link w:val="CorpodetextoChar"/>
    <w:rsid w:val="00C76BB5"/>
    <w:pPr>
      <w:spacing w:after="120" w:line="240" w:lineRule="auto"/>
      <w:jc w:val="left"/>
    </w:pPr>
    <w:rPr>
      <w:rFonts w:ascii="Times New Roman" w:hAnsi="Times New Roman" w:cs="Times New Roman"/>
      <w:sz w:val="24"/>
      <w:szCs w:val="24"/>
    </w:rPr>
  </w:style>
  <w:style w:type="character" w:customStyle="1" w:styleId="CorpodetextoChar">
    <w:name w:val="Corpo de texto Char"/>
    <w:link w:val="Corpodetexto"/>
    <w:rsid w:val="00C76BB5"/>
    <w:rPr>
      <w:rFonts w:ascii="Times New Roman" w:eastAsia="Times New Roman" w:hAnsi="Times New Roman" w:cs="Times New Roman"/>
      <w:sz w:val="24"/>
      <w:szCs w:val="24"/>
      <w:lang w:eastAsia="pt-BR"/>
    </w:rPr>
  </w:style>
  <w:style w:type="paragraph" w:styleId="NormalWeb">
    <w:name w:val="Normal (Web)"/>
    <w:basedOn w:val="Normal"/>
    <w:link w:val="NormalWebChar"/>
    <w:uiPriority w:val="99"/>
    <w:rsid w:val="00C76BB5"/>
    <w:pPr>
      <w:spacing w:before="100" w:beforeAutospacing="1" w:after="100" w:afterAutospacing="1" w:line="240" w:lineRule="auto"/>
      <w:jc w:val="left"/>
    </w:pPr>
    <w:rPr>
      <w:rFonts w:ascii="Times New Roman" w:hAnsi="Times New Roman" w:cs="Times New Roman"/>
    </w:rPr>
  </w:style>
  <w:style w:type="character" w:customStyle="1" w:styleId="NormalWebChar">
    <w:name w:val="Normal (Web) Char"/>
    <w:link w:val="NormalWeb"/>
    <w:uiPriority w:val="99"/>
    <w:rsid w:val="00C76BB5"/>
    <w:rPr>
      <w:rFonts w:ascii="Times New Roman" w:eastAsia="Times New Roman" w:hAnsi="Times New Roman" w:cs="Times New Roman"/>
      <w:sz w:val="20"/>
      <w:szCs w:val="20"/>
      <w:lang w:eastAsia="pt-BR"/>
    </w:rPr>
  </w:style>
  <w:style w:type="paragraph" w:customStyle="1" w:styleId="referenciaCharChar">
    <w:name w:val="referencia Char Char"/>
    <w:basedOn w:val="Normal"/>
    <w:link w:val="referenciaCharCharChar1"/>
    <w:rsid w:val="00C76BB5"/>
    <w:pPr>
      <w:spacing w:after="200" w:line="276" w:lineRule="auto"/>
    </w:pPr>
    <w:rPr>
      <w:rFonts w:ascii="Times New Roman" w:hAnsi="Times New Roman" w:cs="Times New Roman"/>
      <w:sz w:val="24"/>
      <w:szCs w:val="24"/>
    </w:rPr>
  </w:style>
  <w:style w:type="character" w:customStyle="1" w:styleId="referenciaCharCharChar1">
    <w:name w:val="referencia Char Char Char1"/>
    <w:link w:val="referenciaCharChar"/>
    <w:rsid w:val="00C76BB5"/>
    <w:rPr>
      <w:rFonts w:ascii="Times New Roman" w:eastAsia="Times New Roman" w:hAnsi="Times New Roman" w:cs="Times New Roman"/>
      <w:sz w:val="24"/>
      <w:szCs w:val="24"/>
      <w:lang w:eastAsia="pt-BR"/>
    </w:rPr>
  </w:style>
  <w:style w:type="paragraph" w:customStyle="1" w:styleId="Figura">
    <w:name w:val="Figura"/>
    <w:basedOn w:val="Normal"/>
    <w:rsid w:val="00C76BB5"/>
    <w:pPr>
      <w:keepNext/>
      <w:spacing w:line="312" w:lineRule="auto"/>
      <w:ind w:left="1077" w:hanging="1077"/>
    </w:pPr>
    <w:rPr>
      <w:rFonts w:ascii="Times New Roman" w:hAnsi="Times New Roman"/>
    </w:rPr>
  </w:style>
  <w:style w:type="paragraph" w:customStyle="1" w:styleId="Tabela-ttulointerno">
    <w:name w:val="Tabela - título interno"/>
    <w:basedOn w:val="Normal"/>
    <w:rsid w:val="00C76BB5"/>
    <w:pPr>
      <w:spacing w:before="20" w:after="20" w:line="240" w:lineRule="auto"/>
    </w:pPr>
    <w:rPr>
      <w:rFonts w:ascii="Times New Roman" w:hAnsi="Times New Roman"/>
      <w:b/>
      <w:bCs/>
      <w:sz w:val="22"/>
      <w:szCs w:val="22"/>
    </w:rPr>
  </w:style>
  <w:style w:type="paragraph" w:customStyle="1" w:styleId="Tabela-nmeros">
    <w:name w:val="Tabela - números"/>
    <w:basedOn w:val="Normal"/>
    <w:rsid w:val="00C76BB5"/>
    <w:pPr>
      <w:spacing w:line="240" w:lineRule="auto"/>
      <w:jc w:val="right"/>
    </w:pPr>
    <w:rPr>
      <w:rFonts w:ascii="Times New Roman" w:hAnsi="Times New Roman"/>
      <w:sz w:val="22"/>
    </w:rPr>
  </w:style>
  <w:style w:type="paragraph" w:customStyle="1" w:styleId="Tabela-textos">
    <w:name w:val="Tabela - textos"/>
    <w:basedOn w:val="Normal"/>
    <w:rsid w:val="00C76BB5"/>
    <w:pPr>
      <w:spacing w:line="240" w:lineRule="auto"/>
      <w:jc w:val="left"/>
    </w:pPr>
    <w:rPr>
      <w:rFonts w:ascii="Times New Roman" w:hAnsi="Times New Roman"/>
      <w:sz w:val="22"/>
      <w:szCs w:val="22"/>
    </w:rPr>
  </w:style>
  <w:style w:type="paragraph" w:customStyle="1" w:styleId="EstiloTabela-textos">
    <w:name w:val="Estilo Tabela - textos"/>
    <w:basedOn w:val="Tabela-textos"/>
    <w:rsid w:val="00C76BB5"/>
    <w:rPr>
      <w:szCs w:val="20"/>
    </w:rPr>
  </w:style>
  <w:style w:type="paragraph" w:customStyle="1" w:styleId="RefernciaBibliogrficas">
    <w:name w:val="Referência Bibliográficas"/>
    <w:basedOn w:val="Normal"/>
    <w:link w:val="RefernciaBibliogrficasChar"/>
    <w:rsid w:val="00C76BB5"/>
    <w:pPr>
      <w:spacing w:after="200" w:line="276" w:lineRule="auto"/>
    </w:pPr>
    <w:rPr>
      <w:rFonts w:ascii="Times New Roman" w:hAnsi="Times New Roman" w:cs="Times New Roman"/>
      <w:caps/>
      <w:sz w:val="24"/>
      <w:szCs w:val="24"/>
    </w:rPr>
  </w:style>
  <w:style w:type="character" w:customStyle="1" w:styleId="RefernciaBibliogrficasChar">
    <w:name w:val="Referência Bibliográficas Char"/>
    <w:link w:val="RefernciaBibliogrficas"/>
    <w:rsid w:val="00C76BB5"/>
    <w:rPr>
      <w:rFonts w:ascii="Times New Roman" w:eastAsia="Times New Roman" w:hAnsi="Times New Roman" w:cs="Times New Roman"/>
      <w:caps/>
      <w:sz w:val="24"/>
      <w:szCs w:val="24"/>
      <w:lang w:eastAsia="pt-BR"/>
    </w:rPr>
  </w:style>
  <w:style w:type="paragraph" w:customStyle="1" w:styleId="Tabela-nmeros1">
    <w:name w:val="Tabela - números1"/>
    <w:basedOn w:val="Tabela-nmeros"/>
    <w:rsid w:val="00C76BB5"/>
    <w:rPr>
      <w:color w:val="000000"/>
      <w:szCs w:val="22"/>
    </w:rPr>
  </w:style>
  <w:style w:type="paragraph" w:customStyle="1" w:styleId="referencia">
    <w:name w:val="referencia"/>
    <w:basedOn w:val="Normal"/>
    <w:rsid w:val="00C76BB5"/>
    <w:pPr>
      <w:spacing w:after="200" w:line="276" w:lineRule="auto"/>
    </w:pPr>
    <w:rPr>
      <w:rFonts w:ascii="Times New Roman" w:hAnsi="Times New Roman"/>
    </w:rPr>
  </w:style>
  <w:style w:type="paragraph" w:customStyle="1" w:styleId="RoteiroMetodolgico2CharCharCharCharChar">
    <w:name w:val="Roteiro Metodológico 2 Char Char Char Char Char"/>
    <w:basedOn w:val="Normal"/>
    <w:link w:val="RoteiroMetodolgico2CharCharCharCharCharChar"/>
    <w:rsid w:val="00C76BB5"/>
    <w:pPr>
      <w:spacing w:line="240" w:lineRule="auto"/>
    </w:pPr>
    <w:rPr>
      <w:rFonts w:ascii="Times New Roman" w:hAnsi="Times New Roman" w:cs="Times New Roman"/>
      <w:b/>
      <w:color w:val="FFFFFF"/>
    </w:rPr>
  </w:style>
  <w:style w:type="character" w:customStyle="1" w:styleId="RoteiroMetodolgico2CharCharCharCharCharChar">
    <w:name w:val="Roteiro Metodológico 2 Char Char Char Char Char Char"/>
    <w:link w:val="RoteiroMetodolgico2CharCharCharCharChar"/>
    <w:rsid w:val="00C76BB5"/>
    <w:rPr>
      <w:rFonts w:ascii="Times New Roman" w:eastAsia="Times New Roman" w:hAnsi="Times New Roman" w:cs="Times New Roman"/>
      <w:b/>
      <w:color w:val="FFFFFF"/>
      <w:lang w:eastAsia="pt-BR"/>
    </w:rPr>
  </w:style>
  <w:style w:type="paragraph" w:customStyle="1" w:styleId="RoteiroMetodolgico2CharCharCharChar">
    <w:name w:val="Roteiro Metodológico 2 Char Char Char Char"/>
    <w:basedOn w:val="Normal"/>
    <w:link w:val="RoteiroMetodolgico2CharCharCharCharChar1"/>
    <w:rsid w:val="00C76BB5"/>
    <w:pPr>
      <w:spacing w:line="240" w:lineRule="auto"/>
    </w:pPr>
    <w:rPr>
      <w:rFonts w:ascii="Times New Roman" w:hAnsi="Times New Roman" w:cs="Times New Roman"/>
      <w:b/>
      <w:color w:val="FFFFFF"/>
    </w:rPr>
  </w:style>
  <w:style w:type="character" w:customStyle="1" w:styleId="RoteiroMetodolgico2CharCharCharCharChar1">
    <w:name w:val="Roteiro Metodológico 2 Char Char Char Char Char1"/>
    <w:link w:val="RoteiroMetodolgico2CharCharCharChar"/>
    <w:rsid w:val="00C76BB5"/>
    <w:rPr>
      <w:rFonts w:ascii="Times New Roman" w:eastAsia="Times New Roman" w:hAnsi="Times New Roman" w:cs="Times New Roman"/>
      <w:b/>
      <w:color w:val="FFFFFF"/>
      <w:lang w:eastAsia="pt-BR"/>
    </w:rPr>
  </w:style>
  <w:style w:type="paragraph" w:customStyle="1" w:styleId="corpodetextoCharCharCharChar">
    <w:name w:val="corpo de texto Char Char Char Char"/>
    <w:basedOn w:val="Normal"/>
    <w:link w:val="corpodetextoCharCharCharCharChar"/>
    <w:rsid w:val="00C76BB5"/>
    <w:pPr>
      <w:ind w:firstLine="709"/>
    </w:pPr>
    <w:rPr>
      <w:rFonts w:ascii="Times New Roman" w:hAnsi="Times New Roman" w:cs="Times New Roman"/>
      <w:sz w:val="24"/>
    </w:rPr>
  </w:style>
  <w:style w:type="character" w:customStyle="1" w:styleId="corpodetextoCharCharCharCharChar">
    <w:name w:val="corpo de texto Char Char Char Char Char"/>
    <w:link w:val="corpodetextoCharCharCharChar"/>
    <w:rsid w:val="00C76BB5"/>
    <w:rPr>
      <w:rFonts w:ascii="Times New Roman" w:eastAsia="Times New Roman" w:hAnsi="Times New Roman" w:cs="Times New Roman"/>
      <w:sz w:val="24"/>
      <w:szCs w:val="20"/>
      <w:lang w:eastAsia="pt-BR"/>
    </w:rPr>
  </w:style>
  <w:style w:type="paragraph" w:customStyle="1" w:styleId="referenciaChar">
    <w:name w:val="referencia Char"/>
    <w:basedOn w:val="Corpodetexto"/>
    <w:rsid w:val="00C76BB5"/>
    <w:pPr>
      <w:spacing w:after="200" w:line="276" w:lineRule="auto"/>
      <w:jc w:val="both"/>
    </w:pPr>
  </w:style>
  <w:style w:type="paragraph" w:customStyle="1" w:styleId="RoteiroMetodolgico2CharCharChar">
    <w:name w:val="Roteiro Metodológico 2 Char Char Char"/>
    <w:basedOn w:val="Normal"/>
    <w:rsid w:val="00C76BB5"/>
    <w:pPr>
      <w:spacing w:line="240" w:lineRule="auto"/>
    </w:pPr>
    <w:rPr>
      <w:rFonts w:ascii="Times New Roman" w:hAnsi="Times New Roman"/>
      <w:b/>
      <w:color w:val="FFFFFF"/>
      <w:sz w:val="22"/>
      <w:szCs w:val="22"/>
    </w:rPr>
  </w:style>
  <w:style w:type="paragraph" w:customStyle="1" w:styleId="RoteiroMetodolgico2CharChar">
    <w:name w:val="Roteiro Metodológico 2 Char Char"/>
    <w:basedOn w:val="Normal"/>
    <w:rsid w:val="00C76BB5"/>
    <w:pPr>
      <w:spacing w:line="240" w:lineRule="auto"/>
    </w:pPr>
    <w:rPr>
      <w:rFonts w:ascii="Times New Roman" w:hAnsi="Times New Roman"/>
      <w:b/>
      <w:color w:val="FFFFFF"/>
      <w:sz w:val="22"/>
      <w:szCs w:val="22"/>
    </w:rPr>
  </w:style>
  <w:style w:type="paragraph" w:customStyle="1" w:styleId="corpodetexto0">
    <w:name w:val="corpo de texto"/>
    <w:basedOn w:val="Normal"/>
    <w:rsid w:val="00C76BB5"/>
    <w:pPr>
      <w:spacing w:line="240" w:lineRule="auto"/>
      <w:ind w:firstLine="709"/>
    </w:pPr>
    <w:rPr>
      <w:rFonts w:ascii="Times New Roman" w:hAnsi="Times New Roman"/>
    </w:rPr>
  </w:style>
  <w:style w:type="paragraph" w:customStyle="1" w:styleId="corpo">
    <w:name w:val="corpo"/>
    <w:basedOn w:val="Normal"/>
    <w:rsid w:val="00C76BB5"/>
    <w:pPr>
      <w:spacing w:before="100" w:beforeAutospacing="1" w:after="100" w:afterAutospacing="1" w:line="240" w:lineRule="auto"/>
      <w:jc w:val="left"/>
    </w:pPr>
    <w:rPr>
      <w:color w:val="000000"/>
      <w:sz w:val="17"/>
      <w:szCs w:val="17"/>
    </w:rPr>
  </w:style>
  <w:style w:type="character" w:styleId="nfase">
    <w:name w:val="Emphasis"/>
    <w:uiPriority w:val="20"/>
    <w:qFormat/>
    <w:rsid w:val="00C76BB5"/>
    <w:rPr>
      <w:i/>
      <w:iCs/>
    </w:rPr>
  </w:style>
  <w:style w:type="paragraph" w:customStyle="1" w:styleId="CorpodeTexto1">
    <w:name w:val="Corpo de Texto"/>
    <w:basedOn w:val="Normal"/>
    <w:rsid w:val="00C76BB5"/>
    <w:pPr>
      <w:ind w:firstLine="709"/>
    </w:pPr>
    <w:rPr>
      <w:rFonts w:ascii="Times New Roman" w:hAnsi="Times New Roman"/>
    </w:rPr>
  </w:style>
  <w:style w:type="paragraph" w:styleId="Textodenotadefim">
    <w:name w:val="endnote text"/>
    <w:basedOn w:val="Normal"/>
    <w:link w:val="TextodenotadefimChar"/>
    <w:rsid w:val="00C76BB5"/>
    <w:rPr>
      <w:rFonts w:ascii="Verdana" w:hAnsi="Verdana" w:cs="Times New Roman"/>
    </w:rPr>
  </w:style>
  <w:style w:type="character" w:customStyle="1" w:styleId="TextodenotadefimChar">
    <w:name w:val="Texto de nota de fim Char"/>
    <w:link w:val="Textodenotadefim"/>
    <w:rsid w:val="00C76BB5"/>
    <w:rPr>
      <w:rFonts w:ascii="Verdana" w:eastAsia="Times New Roman" w:hAnsi="Verdana" w:cs="Times New Roman"/>
      <w:sz w:val="20"/>
      <w:szCs w:val="20"/>
      <w:lang w:eastAsia="pt-BR"/>
    </w:rPr>
  </w:style>
  <w:style w:type="character" w:styleId="Refdenotadefim">
    <w:name w:val="endnote reference"/>
    <w:rsid w:val="00C76BB5"/>
    <w:rPr>
      <w:vertAlign w:val="superscript"/>
    </w:rPr>
  </w:style>
  <w:style w:type="paragraph" w:customStyle="1" w:styleId="Contedodatabela">
    <w:name w:val="Conteúdo da tabela"/>
    <w:basedOn w:val="Normal"/>
    <w:rsid w:val="00C76BB5"/>
    <w:pPr>
      <w:widowControl w:val="0"/>
      <w:suppressLineNumbers/>
      <w:suppressAutoHyphens/>
      <w:spacing w:line="240" w:lineRule="auto"/>
      <w:jc w:val="left"/>
    </w:pPr>
    <w:rPr>
      <w:rFonts w:ascii="Times New Roman" w:eastAsia="Lucida Sans Unicode" w:hAnsi="Times New Roman"/>
      <w:kern w:val="1"/>
    </w:rPr>
  </w:style>
  <w:style w:type="character" w:customStyle="1" w:styleId="apple-style-span">
    <w:name w:val="apple-style-span"/>
    <w:basedOn w:val="Fontepargpadro"/>
    <w:rsid w:val="00C76BB5"/>
  </w:style>
  <w:style w:type="paragraph" w:customStyle="1" w:styleId="Tabela0">
    <w:name w:val="Tabela"/>
    <w:basedOn w:val="Ttulo6"/>
    <w:next w:val="Normal"/>
    <w:link w:val="TabelaChar"/>
    <w:rsid w:val="00C76BB5"/>
    <w:pPr>
      <w:keepNext/>
      <w:numPr>
        <w:ilvl w:val="0"/>
        <w:numId w:val="0"/>
      </w:numPr>
      <w:spacing w:before="0" w:after="0" w:line="240" w:lineRule="auto"/>
      <w:jc w:val="left"/>
    </w:pPr>
    <w:rPr>
      <w:rFonts w:ascii="Futura Lt BT" w:hAnsi="Futura Lt BT" w:cs="Times New Roman"/>
      <w:b w:val="0"/>
      <w:bCs w:val="0"/>
      <w:sz w:val="20"/>
      <w:szCs w:val="20"/>
    </w:rPr>
  </w:style>
  <w:style w:type="character" w:customStyle="1" w:styleId="TabelaChar">
    <w:name w:val="Tabela Char"/>
    <w:link w:val="Tabela0"/>
    <w:rsid w:val="00C76BB5"/>
    <w:rPr>
      <w:rFonts w:ascii="Futura Lt BT" w:eastAsia="Times New Roman" w:hAnsi="Futura Lt BT" w:cs="Times New Roman"/>
      <w:sz w:val="20"/>
      <w:szCs w:val="20"/>
    </w:rPr>
  </w:style>
  <w:style w:type="paragraph" w:customStyle="1" w:styleId="LegendaP">
    <w:name w:val="Legenda P"/>
    <w:basedOn w:val="Normal"/>
    <w:rsid w:val="00C76BB5"/>
    <w:pPr>
      <w:keepNext/>
      <w:spacing w:line="240" w:lineRule="auto"/>
      <w:outlineLvl w:val="5"/>
    </w:pPr>
    <w:rPr>
      <w:rFonts w:ascii="Futura Lt BT" w:hAnsi="Futura Lt BT"/>
      <w:sz w:val="16"/>
    </w:rPr>
  </w:style>
  <w:style w:type="paragraph" w:customStyle="1" w:styleId="Standard">
    <w:name w:val="Standard"/>
    <w:rsid w:val="00C76BB5"/>
    <w:pPr>
      <w:suppressAutoHyphens/>
      <w:autoSpaceDN w:val="0"/>
      <w:spacing w:line="360" w:lineRule="auto"/>
      <w:jc w:val="both"/>
      <w:textAlignment w:val="baseline"/>
    </w:pPr>
    <w:rPr>
      <w:rFonts w:ascii="Verdana" w:eastAsia="Times New Roman" w:hAnsi="Verdana"/>
      <w:kern w:val="3"/>
      <w:sz w:val="24"/>
      <w:szCs w:val="24"/>
    </w:rPr>
  </w:style>
  <w:style w:type="character" w:customStyle="1" w:styleId="st">
    <w:name w:val="st"/>
    <w:basedOn w:val="Fontepargpadro"/>
    <w:rsid w:val="00C76BB5"/>
  </w:style>
  <w:style w:type="paragraph" w:customStyle="1" w:styleId="Ttulo2CerroAzul">
    <w:name w:val="Título 2 CerroAzul"/>
    <w:basedOn w:val="NormalWeb"/>
    <w:link w:val="Ttulo1CerroAzulChar1"/>
    <w:rsid w:val="00C76BB5"/>
    <w:pPr>
      <w:numPr>
        <w:numId w:val="7"/>
      </w:numPr>
      <w:shd w:val="clear" w:color="auto" w:fill="FFFFFF"/>
      <w:spacing w:before="120" w:beforeAutospacing="0" w:after="120" w:afterAutospacing="0" w:line="360" w:lineRule="auto"/>
      <w:ind w:left="0" w:firstLine="0"/>
      <w:jc w:val="both"/>
      <w:outlineLvl w:val="1"/>
    </w:pPr>
  </w:style>
  <w:style w:type="character" w:customStyle="1" w:styleId="Ttulo1CerroAzulChar1">
    <w:name w:val="Título 1 CerroAzul Char1"/>
    <w:link w:val="Ttulo2CerroAzul"/>
    <w:rsid w:val="00C76BB5"/>
    <w:rPr>
      <w:rFonts w:ascii="Times New Roman" w:eastAsia="Times New Roman" w:hAnsi="Times New Roman" w:cs="Times New Roman"/>
      <w:sz w:val="20"/>
      <w:szCs w:val="20"/>
      <w:shd w:val="clear" w:color="auto" w:fill="FFFFFF"/>
      <w:lang w:eastAsia="pt-BR"/>
    </w:rPr>
  </w:style>
  <w:style w:type="paragraph" w:customStyle="1" w:styleId="TabelaCerroAzul">
    <w:name w:val="Tabela CerroAzul"/>
    <w:basedOn w:val="Normal"/>
    <w:link w:val="TabelaCerroAzulChar"/>
    <w:rsid w:val="00C76BB5"/>
    <w:pPr>
      <w:autoSpaceDE w:val="0"/>
      <w:autoSpaceDN w:val="0"/>
      <w:adjustRightInd w:val="0"/>
    </w:pPr>
    <w:rPr>
      <w:rFonts w:cs="Times New Roman"/>
    </w:rPr>
  </w:style>
  <w:style w:type="character" w:customStyle="1" w:styleId="TabelaCerroAzulChar">
    <w:name w:val="Tabela CerroAzul Char"/>
    <w:link w:val="TabelaCerroAzul"/>
    <w:rsid w:val="00C76BB5"/>
    <w:rPr>
      <w:rFonts w:ascii="Arial" w:eastAsia="Times New Roman" w:hAnsi="Arial" w:cs="Times New Roman"/>
      <w:sz w:val="20"/>
      <w:szCs w:val="20"/>
      <w:lang w:eastAsia="pt-BR"/>
    </w:rPr>
  </w:style>
  <w:style w:type="paragraph" w:customStyle="1" w:styleId="Ttulo3Tagaaba">
    <w:name w:val="Título 3 Tagaçaba"/>
    <w:basedOn w:val="Ttulo3"/>
    <w:link w:val="Ttulo3TagaabaChar"/>
    <w:qFormat/>
    <w:rsid w:val="00C76BB5"/>
    <w:pPr>
      <w:ind w:left="709" w:hanging="709"/>
    </w:pPr>
    <w:rPr>
      <w:sz w:val="24"/>
      <w:szCs w:val="24"/>
    </w:rPr>
  </w:style>
  <w:style w:type="character" w:customStyle="1" w:styleId="Ttulo3TagaabaChar">
    <w:name w:val="Título 3 Tagaçaba Char"/>
    <w:link w:val="Ttulo3Tagaaba"/>
    <w:rsid w:val="00C76BB5"/>
    <w:rPr>
      <w:rFonts w:ascii="Arial" w:eastAsia="Times New Roman" w:hAnsi="Arial" w:cs="Times New Roman"/>
      <w:b/>
      <w:bCs/>
      <w:sz w:val="24"/>
      <w:szCs w:val="24"/>
      <w:lang w:eastAsia="pt-BR"/>
    </w:rPr>
  </w:style>
  <w:style w:type="paragraph" w:customStyle="1" w:styleId="CorpoTabela">
    <w:name w:val="Corpo Tabela"/>
    <w:basedOn w:val="Legenda"/>
    <w:link w:val="CorpoTabelaChar"/>
    <w:qFormat/>
    <w:rsid w:val="00C76BB5"/>
    <w:pPr>
      <w:framePr w:wrap="around" w:hAnchor="text"/>
    </w:pPr>
  </w:style>
  <w:style w:type="character" w:customStyle="1" w:styleId="CorpoTabelaChar">
    <w:name w:val="Corpo Tabela Char"/>
    <w:link w:val="CorpoTabela"/>
    <w:rsid w:val="00C76BB5"/>
    <w:rPr>
      <w:rFonts w:ascii="Arial" w:eastAsia="Times New Roman" w:hAnsi="Arial" w:cs="Times New Roman"/>
      <w:bCs/>
      <w:sz w:val="20"/>
      <w:szCs w:val="20"/>
      <w:lang w:eastAsia="pt-BR"/>
    </w:rPr>
  </w:style>
  <w:style w:type="paragraph" w:customStyle="1" w:styleId="BibliografiaCerroAzul">
    <w:name w:val="Bibliografia CerroAzul"/>
    <w:basedOn w:val="CorpodeTextoCerroAzul"/>
    <w:link w:val="BibliografiaCerroAzulChar"/>
    <w:qFormat/>
    <w:rsid w:val="00C76BB5"/>
    <w:pPr>
      <w:ind w:firstLine="0"/>
    </w:pPr>
    <w:rPr>
      <w:b/>
      <w:bCs/>
      <w:iCs/>
    </w:rPr>
  </w:style>
  <w:style w:type="character" w:customStyle="1" w:styleId="BibliografiaCerroAzulChar">
    <w:name w:val="Bibliografia CerroAzul Char"/>
    <w:link w:val="BibliografiaCerroAzul"/>
    <w:rsid w:val="00C76BB5"/>
    <w:rPr>
      <w:rFonts w:ascii="Arial" w:eastAsia="Times New Roman" w:hAnsi="Arial" w:cs="Times New Roman"/>
      <w:b/>
      <w:bCs/>
      <w:iCs/>
      <w:sz w:val="24"/>
      <w:szCs w:val="24"/>
      <w:lang w:eastAsia="pt-BR"/>
    </w:rPr>
  </w:style>
  <w:style w:type="paragraph" w:customStyle="1" w:styleId="CitaoDiretaCerroAzul">
    <w:name w:val="Citação Direta CerroAzul"/>
    <w:basedOn w:val="CorpodeTextoCerroAzul"/>
    <w:link w:val="CitaoDiretaCerroAzulChar"/>
    <w:qFormat/>
    <w:rsid w:val="00C76BB5"/>
    <w:pPr>
      <w:spacing w:before="240" w:after="240" w:line="288" w:lineRule="auto"/>
      <w:ind w:left="2268" w:firstLine="0"/>
    </w:pPr>
    <w:rPr>
      <w:b/>
      <w:bCs/>
      <w:iCs/>
    </w:rPr>
  </w:style>
  <w:style w:type="character" w:customStyle="1" w:styleId="CitaoDiretaCerroAzulChar">
    <w:name w:val="Citação Direta CerroAzul Char"/>
    <w:link w:val="CitaoDiretaCerroAzul"/>
    <w:rsid w:val="00C76BB5"/>
    <w:rPr>
      <w:rFonts w:ascii="Arial" w:eastAsia="Times New Roman" w:hAnsi="Arial" w:cs="Times New Roman"/>
      <w:b/>
      <w:bCs/>
      <w:iCs/>
      <w:sz w:val="24"/>
      <w:szCs w:val="24"/>
      <w:lang w:eastAsia="pt-BR"/>
    </w:rPr>
  </w:style>
  <w:style w:type="paragraph" w:customStyle="1" w:styleId="Ttulo4Tagaaba">
    <w:name w:val="Título 4 Tagaçaba"/>
    <w:basedOn w:val="Ttulo4"/>
    <w:link w:val="Ttulo4TagaabaChar"/>
    <w:qFormat/>
    <w:rsid w:val="00C76BB5"/>
    <w:pPr>
      <w:ind w:left="709" w:hanging="709"/>
      <w:jc w:val="both"/>
    </w:pPr>
    <w:rPr>
      <w:bCs w:val="0"/>
      <w:sz w:val="24"/>
      <w:szCs w:val="24"/>
    </w:rPr>
  </w:style>
  <w:style w:type="character" w:customStyle="1" w:styleId="Ttulo4TagaabaChar">
    <w:name w:val="Título 4 Tagaçaba Char"/>
    <w:link w:val="Ttulo4Tagaaba"/>
    <w:rsid w:val="00C76BB5"/>
    <w:rPr>
      <w:rFonts w:ascii="Arial" w:eastAsia="Times New Roman" w:hAnsi="Arial" w:cs="Times New Roman"/>
      <w:b/>
      <w:sz w:val="24"/>
      <w:szCs w:val="24"/>
      <w:lang w:eastAsia="pt-BR"/>
    </w:rPr>
  </w:style>
  <w:style w:type="paragraph" w:customStyle="1" w:styleId="Legenda1">
    <w:name w:val="Legenda1"/>
    <w:basedOn w:val="Normal"/>
    <w:rsid w:val="00C76BB5"/>
    <w:pPr>
      <w:tabs>
        <w:tab w:val="left" w:pos="567"/>
      </w:tabs>
      <w:suppressAutoHyphens/>
      <w:jc w:val="both"/>
      <w:textAlignment w:val="baseline"/>
    </w:pPr>
    <w:rPr>
      <w:rFonts w:ascii="Verdana" w:hAnsi="Verdana"/>
      <w:bCs/>
      <w:color w:val="00000A"/>
      <w:kern w:val="1"/>
      <w:sz w:val="24"/>
      <w:szCs w:val="24"/>
    </w:rPr>
  </w:style>
  <w:style w:type="paragraph" w:styleId="SemEspaamento">
    <w:name w:val="No Spacing"/>
    <w:uiPriority w:val="1"/>
    <w:qFormat/>
    <w:rsid w:val="00C76BB5"/>
    <w:pPr>
      <w:jc w:val="both"/>
    </w:pPr>
    <w:rPr>
      <w:rFonts w:ascii="Times New Roman" w:hAnsi="Times New Roman"/>
      <w:sz w:val="24"/>
      <w:szCs w:val="22"/>
      <w:lang w:eastAsia="en-US"/>
    </w:rPr>
  </w:style>
  <w:style w:type="paragraph" w:customStyle="1" w:styleId="Ttulo5CerroAzul">
    <w:name w:val="Título 5 CerroAzul"/>
    <w:basedOn w:val="Ttulo5"/>
    <w:link w:val="Ttulo5CerroAzulChar"/>
    <w:qFormat/>
    <w:rsid w:val="00C76BB5"/>
    <w:pPr>
      <w:ind w:left="0" w:firstLine="1009"/>
      <w:jc w:val="both"/>
    </w:pPr>
    <w:rPr>
      <w:b w:val="0"/>
      <w:bCs w:val="0"/>
      <w:iCs w:val="0"/>
      <w:sz w:val="24"/>
      <w:szCs w:val="24"/>
    </w:rPr>
  </w:style>
  <w:style w:type="character" w:customStyle="1" w:styleId="Ttulo5CerroAzulChar">
    <w:name w:val="Título 5 CerroAzul Char"/>
    <w:link w:val="Ttulo5CerroAzul"/>
    <w:rsid w:val="00C76BB5"/>
    <w:rPr>
      <w:rFonts w:ascii="Arial" w:eastAsia="Times New Roman" w:hAnsi="Arial" w:cs="Times New Roman"/>
      <w:sz w:val="24"/>
      <w:szCs w:val="24"/>
      <w:lang w:eastAsia="pt-BR"/>
    </w:rPr>
  </w:style>
  <w:style w:type="character" w:styleId="CitaoHTML">
    <w:name w:val="HTML Cite"/>
    <w:uiPriority w:val="99"/>
    <w:rsid w:val="00C76BB5"/>
    <w:rPr>
      <w:rFonts w:cs="Times New Roman"/>
      <w:color w:val="388222"/>
    </w:rPr>
  </w:style>
  <w:style w:type="paragraph" w:customStyle="1" w:styleId="Ttulo2CerroAzul1">
    <w:name w:val="Título 2 CerroAzul1"/>
    <w:basedOn w:val="Ttulo2"/>
    <w:link w:val="Ttulo2CerroAzul1Char"/>
    <w:qFormat/>
    <w:rsid w:val="00C76BB5"/>
    <w:pPr>
      <w:numPr>
        <w:ilvl w:val="0"/>
        <w:numId w:val="0"/>
      </w:numPr>
      <w:ind w:left="578" w:hanging="578"/>
    </w:pPr>
    <w:rPr>
      <w:bCs w:val="0"/>
      <w:iCs w:val="0"/>
    </w:rPr>
  </w:style>
  <w:style w:type="character" w:customStyle="1" w:styleId="Ttulo2CerroAzul1Char">
    <w:name w:val="Título 2 CerroAzul1 Char"/>
    <w:link w:val="Ttulo2CerroAzul1"/>
    <w:rsid w:val="00C76BB5"/>
    <w:rPr>
      <w:rFonts w:ascii="Arial" w:eastAsia="Times New Roman" w:hAnsi="Arial" w:cs="Times New Roman"/>
      <w:b/>
      <w:sz w:val="24"/>
      <w:szCs w:val="24"/>
      <w:lang w:eastAsia="pt-BR"/>
    </w:rPr>
  </w:style>
  <w:style w:type="character" w:customStyle="1" w:styleId="CommentSubjectChar">
    <w:name w:val="Comment Subject Char"/>
    <w:uiPriority w:val="99"/>
    <w:semiHidden/>
    <w:locked/>
    <w:rsid w:val="00C76BB5"/>
    <w:rPr>
      <w:rFonts w:ascii="Arial" w:hAnsi="Arial"/>
      <w:b/>
      <w:sz w:val="20"/>
    </w:rPr>
  </w:style>
  <w:style w:type="character" w:customStyle="1" w:styleId="CommentSubjectChar1">
    <w:name w:val="Comment Subject Char1"/>
    <w:uiPriority w:val="99"/>
    <w:semiHidden/>
    <w:rsid w:val="00C76BB5"/>
    <w:rPr>
      <w:rFonts w:ascii="Arial" w:hAnsi="Arial"/>
      <w:b/>
      <w:sz w:val="20"/>
      <w:lang w:val="pt-BR" w:eastAsia="en-US"/>
    </w:rPr>
  </w:style>
  <w:style w:type="character" w:customStyle="1" w:styleId="EndnoteTextChar">
    <w:name w:val="Endnote Text Char"/>
    <w:uiPriority w:val="99"/>
    <w:semiHidden/>
    <w:locked/>
    <w:rsid w:val="00C76BB5"/>
    <w:rPr>
      <w:rFonts w:ascii="Arial" w:hAnsi="Arial"/>
      <w:sz w:val="20"/>
    </w:rPr>
  </w:style>
  <w:style w:type="character" w:customStyle="1" w:styleId="EndnoteTextChar1">
    <w:name w:val="Endnote Text Char1"/>
    <w:uiPriority w:val="99"/>
    <w:semiHidden/>
    <w:rsid w:val="00C76BB5"/>
    <w:rPr>
      <w:rFonts w:ascii="Arial" w:hAnsi="Arial"/>
      <w:sz w:val="20"/>
      <w:lang w:val="pt-BR" w:eastAsia="en-US"/>
    </w:rPr>
  </w:style>
  <w:style w:type="paragraph" w:styleId="CabealhodoSumrio">
    <w:name w:val="TOC Heading"/>
    <w:basedOn w:val="Ttulo1"/>
    <w:next w:val="Normal"/>
    <w:uiPriority w:val="39"/>
    <w:qFormat/>
    <w:rsid w:val="00C76BB5"/>
    <w:pPr>
      <w:keepLines/>
      <w:numPr>
        <w:numId w:val="0"/>
      </w:numPr>
      <w:pBdr>
        <w:bottom w:val="none" w:sz="0" w:space="0" w:color="auto"/>
      </w:pBdr>
      <w:spacing w:before="480" w:after="0" w:line="276" w:lineRule="auto"/>
      <w:jc w:val="left"/>
      <w:outlineLvl w:val="9"/>
    </w:pPr>
    <w:rPr>
      <w:rFonts w:ascii="Cambria" w:eastAsia="Calibri" w:hAnsi="Cambria"/>
      <w:bCs w:val="0"/>
      <w:caps w:val="0"/>
      <w:color w:val="365F91"/>
      <w:kern w:val="0"/>
      <w:sz w:val="28"/>
      <w:szCs w:val="20"/>
    </w:rPr>
  </w:style>
  <w:style w:type="paragraph" w:customStyle="1" w:styleId="ContedodeTabela0">
    <w:name w:val="Conteúdo de Tabela"/>
    <w:basedOn w:val="Normal"/>
    <w:uiPriority w:val="99"/>
    <w:rsid w:val="00C76BB5"/>
    <w:rPr>
      <w:rFonts w:eastAsia="Calibri" w:cs="Times New Roman"/>
      <w:bCs/>
      <w:color w:val="000000"/>
      <w:szCs w:val="22"/>
      <w:lang w:eastAsia="en-US"/>
    </w:rPr>
  </w:style>
  <w:style w:type="paragraph" w:customStyle="1" w:styleId="Ttulo1CerroAzul">
    <w:name w:val="Título 1 CerroAzul"/>
    <w:basedOn w:val="Ttulo1"/>
    <w:link w:val="Ttulo1CerroAzulChar"/>
    <w:qFormat/>
    <w:rsid w:val="003652F7"/>
    <w:pPr>
      <w:tabs>
        <w:tab w:val="clear" w:pos="0"/>
        <w:tab w:val="num" w:pos="6528"/>
      </w:tabs>
      <w:ind w:left="6528" w:hanging="432"/>
    </w:pPr>
    <w:rPr>
      <w:rFonts w:cs="Arial"/>
    </w:rPr>
  </w:style>
  <w:style w:type="character" w:customStyle="1" w:styleId="Ttulo1CerroAzulChar">
    <w:name w:val="Título 1 CerroAzul Char"/>
    <w:link w:val="Ttulo1CerroAzul"/>
    <w:rsid w:val="003652F7"/>
    <w:rPr>
      <w:rFonts w:ascii="Arial" w:eastAsia="Times New Roman" w:hAnsi="Arial" w:cs="Arial"/>
      <w:b/>
      <w:bCs/>
      <w:caps/>
      <w:kern w:val="32"/>
      <w:sz w:val="24"/>
      <w:szCs w:val="24"/>
    </w:rPr>
  </w:style>
  <w:style w:type="paragraph" w:customStyle="1" w:styleId="Ttulo3CerroAzul">
    <w:name w:val="Título 3 CerroAzul"/>
    <w:basedOn w:val="Ttulo3"/>
    <w:link w:val="Ttulo3CerroAzulChar"/>
    <w:qFormat/>
    <w:rsid w:val="003652F7"/>
    <w:pPr>
      <w:tabs>
        <w:tab w:val="num" w:pos="720"/>
      </w:tabs>
    </w:pPr>
    <w:rPr>
      <w:rFonts w:cs="Arial"/>
      <w:sz w:val="24"/>
      <w:szCs w:val="24"/>
    </w:rPr>
  </w:style>
  <w:style w:type="character" w:customStyle="1" w:styleId="Ttulo3CerroAzulChar">
    <w:name w:val="Título 3 CerroAzul Char"/>
    <w:link w:val="Ttulo3CerroAzul"/>
    <w:rsid w:val="003652F7"/>
    <w:rPr>
      <w:rFonts w:ascii="Arial" w:eastAsia="Times New Roman" w:hAnsi="Arial" w:cs="Arial"/>
      <w:b w:val="0"/>
      <w:bCs w:val="0"/>
      <w:sz w:val="24"/>
      <w:szCs w:val="24"/>
      <w:lang w:eastAsia="pt-BR"/>
    </w:rPr>
  </w:style>
  <w:style w:type="paragraph" w:customStyle="1" w:styleId="Ttulo4CerroAzul">
    <w:name w:val="Título 4 CerroAzul"/>
    <w:basedOn w:val="Ttulo4"/>
    <w:link w:val="Ttulo4CerroAzulChar"/>
    <w:qFormat/>
    <w:rsid w:val="003652F7"/>
    <w:pPr>
      <w:ind w:left="0" w:firstLine="890"/>
      <w:jc w:val="both"/>
    </w:pPr>
    <w:rPr>
      <w:rFonts w:cs="Arial"/>
      <w:b w:val="0"/>
      <w:i/>
      <w:sz w:val="24"/>
      <w:szCs w:val="24"/>
      <w:u w:val="single"/>
    </w:rPr>
  </w:style>
  <w:style w:type="character" w:customStyle="1" w:styleId="Ttulo4CerroAzulChar">
    <w:name w:val="Título 4 CerroAzul Char"/>
    <w:link w:val="Ttulo4CerroAzul"/>
    <w:rsid w:val="003652F7"/>
    <w:rPr>
      <w:rFonts w:ascii="Arial" w:eastAsia="Times New Roman" w:hAnsi="Arial" w:cs="Arial"/>
      <w:b w:val="0"/>
      <w:bCs w:val="0"/>
      <w:i/>
      <w:sz w:val="24"/>
      <w:szCs w:val="24"/>
      <w:u w:val="single"/>
      <w:lang w:eastAsia="pt-BR"/>
    </w:rPr>
  </w:style>
  <w:style w:type="paragraph" w:customStyle="1" w:styleId="TtuloLegenda">
    <w:name w:val="Título Legenda"/>
    <w:basedOn w:val="Normal"/>
    <w:link w:val="TtuloLegendaChar"/>
    <w:qFormat/>
    <w:rsid w:val="003652F7"/>
    <w:rPr>
      <w:rFonts w:eastAsia="Calibri" w:cs="Times New Roman"/>
      <w:color w:val="000000"/>
    </w:rPr>
  </w:style>
  <w:style w:type="character" w:customStyle="1" w:styleId="TtuloLegendaChar">
    <w:name w:val="Título Legenda Char"/>
    <w:link w:val="TtuloLegenda"/>
    <w:rsid w:val="003652F7"/>
    <w:rPr>
      <w:rFonts w:ascii="Arial" w:eastAsia="Calibri" w:hAnsi="Arial" w:cs="Times New Roman"/>
      <w:color w:val="000000"/>
      <w:sz w:val="20"/>
      <w:szCs w:val="20"/>
    </w:rPr>
  </w:style>
  <w:style w:type="paragraph" w:customStyle="1" w:styleId="Default">
    <w:name w:val="Default"/>
    <w:rsid w:val="00E55671"/>
    <w:pPr>
      <w:autoSpaceDE w:val="0"/>
      <w:autoSpaceDN w:val="0"/>
      <w:adjustRightInd w:val="0"/>
    </w:pPr>
    <w:rPr>
      <w:rFonts w:ascii="Arial" w:eastAsia="Times New Roman" w:hAnsi="Arial" w:cs="Arial"/>
      <w:color w:val="000000"/>
      <w:sz w:val="24"/>
      <w:szCs w:val="24"/>
      <w:lang w:eastAsia="en-US"/>
    </w:rPr>
  </w:style>
  <w:style w:type="paragraph" w:customStyle="1" w:styleId="Normal1">
    <w:name w:val="Normal1"/>
    <w:rsid w:val="00E55671"/>
    <w:pPr>
      <w:spacing w:after="200" w:line="276" w:lineRule="auto"/>
    </w:pPr>
    <w:rPr>
      <w:rFonts w:cs="Calibri"/>
      <w:color w:val="000000"/>
      <w:sz w:val="22"/>
      <w:szCs w:val="22"/>
    </w:rPr>
  </w:style>
  <w:style w:type="character" w:customStyle="1" w:styleId="LigaodeInternet">
    <w:name w:val="Ligação de Internet"/>
    <w:rsid w:val="00E55671"/>
    <w:rPr>
      <w:color w:val="000080"/>
      <w:u w:val="single"/>
    </w:rPr>
  </w:style>
  <w:style w:type="table" w:customStyle="1" w:styleId="TableNormal">
    <w:name w:val="Table Normal"/>
    <w:rsid w:val="00E55671"/>
    <w:pPr>
      <w:spacing w:line="276" w:lineRule="auto"/>
    </w:pPr>
    <w:rPr>
      <w:rFonts w:ascii="Arial" w:eastAsia="Arial" w:hAnsi="Arial" w:cs="Arial"/>
      <w:color w:val="000000"/>
      <w:sz w:val="22"/>
      <w:szCs w:val="22"/>
      <w:lang w:eastAsia="zh-CN" w:bidi="hi-IN"/>
    </w:rPr>
    <w:tblPr>
      <w:tblCellMar>
        <w:top w:w="0" w:type="dxa"/>
        <w:left w:w="0" w:type="dxa"/>
        <w:bottom w:w="0" w:type="dxa"/>
        <w:right w:w="0" w:type="dxa"/>
      </w:tblCellMar>
    </w:tblPr>
  </w:style>
  <w:style w:type="character" w:customStyle="1" w:styleId="apple-tab-span">
    <w:name w:val="apple-tab-span"/>
    <w:basedOn w:val="Fontepargpadro"/>
    <w:rsid w:val="00E55671"/>
  </w:style>
  <w:style w:type="character" w:customStyle="1" w:styleId="article-title">
    <w:name w:val="article-title"/>
    <w:basedOn w:val="Fontepargpadro"/>
    <w:rsid w:val="00E55671"/>
  </w:style>
  <w:style w:type="paragraph" w:customStyle="1" w:styleId="ref">
    <w:name w:val="ref"/>
    <w:basedOn w:val="Normal"/>
    <w:rsid w:val="00E55671"/>
    <w:pPr>
      <w:spacing w:before="100" w:beforeAutospacing="1" w:after="100" w:afterAutospacing="1" w:line="240" w:lineRule="auto"/>
      <w:jc w:val="left"/>
    </w:pPr>
    <w:rPr>
      <w:rFonts w:ascii="Times New Roman" w:hAnsi="Times New Roman" w:cs="Times New Roman"/>
      <w:sz w:val="24"/>
      <w:szCs w:val="24"/>
    </w:rPr>
  </w:style>
  <w:style w:type="paragraph" w:styleId="Reviso">
    <w:name w:val="Revision"/>
    <w:hidden/>
    <w:uiPriority w:val="99"/>
    <w:semiHidden/>
    <w:rsid w:val="00E55671"/>
    <w:rPr>
      <w:rFonts w:ascii="Arial" w:eastAsia="Times New Roman" w:hAnsi="Arial" w:cs="Arial"/>
    </w:rPr>
  </w:style>
  <w:style w:type="table" w:customStyle="1" w:styleId="ListaClara1">
    <w:name w:val="Lista Clara1"/>
    <w:basedOn w:val="Tabelanormal"/>
    <w:uiPriority w:val="61"/>
    <w:rsid w:val="00E55671"/>
    <w:rPr>
      <w:rFonts w:eastAsia="Times New Roma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emlista1">
    <w:name w:val="Sem lista1"/>
    <w:next w:val="Semlista"/>
    <w:uiPriority w:val="99"/>
    <w:semiHidden/>
    <w:unhideWhenUsed/>
    <w:rsid w:val="00E55671"/>
  </w:style>
  <w:style w:type="table" w:styleId="SombreamentoClaro-nfase3">
    <w:name w:val="Light Shading Accent 3"/>
    <w:basedOn w:val="Tabelanormal"/>
    <w:uiPriority w:val="60"/>
    <w:rsid w:val="00E55671"/>
    <w:rPr>
      <w:color w:val="76923C"/>
      <w:lang w:val="en-U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GradeMdia3-nfase3">
    <w:name w:val="Medium Grid 3 Accent 3"/>
    <w:basedOn w:val="Tabelanormal"/>
    <w:uiPriority w:val="69"/>
    <w:rsid w:val="00E55671"/>
    <w:rPr>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GradeMdia2-nfase3">
    <w:name w:val="Medium Grid 2 Accent 3"/>
    <w:basedOn w:val="Tabelanormal"/>
    <w:uiPriority w:val="68"/>
    <w:rsid w:val="00E55671"/>
    <w:rPr>
      <w:rFonts w:ascii="Cambria" w:eastAsia="Times New Roman" w:hAnsi="Cambria"/>
      <w:color w:val="000000"/>
      <w:lang w:val="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GradeMdia1-nfase3">
    <w:name w:val="Medium Grid 1 Accent 3"/>
    <w:basedOn w:val="Tabelanormal"/>
    <w:uiPriority w:val="67"/>
    <w:rsid w:val="00E55671"/>
    <w:rPr>
      <w:lang w:val="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GradeClara-nfase3">
    <w:name w:val="Light Grid Accent 3"/>
    <w:basedOn w:val="Tabelanormal"/>
    <w:uiPriority w:val="62"/>
    <w:rsid w:val="00E55671"/>
    <w:rPr>
      <w:lang w:val="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numbering" w:customStyle="1" w:styleId="Estilo1">
    <w:name w:val="Estilo1"/>
    <w:uiPriority w:val="99"/>
    <w:rsid w:val="00E55671"/>
    <w:pPr>
      <w:numPr>
        <w:numId w:val="12"/>
      </w:numPr>
    </w:pPr>
  </w:style>
  <w:style w:type="numbering" w:customStyle="1" w:styleId="Estilo2">
    <w:name w:val="Estilo2"/>
    <w:uiPriority w:val="99"/>
    <w:rsid w:val="00E55671"/>
    <w:pPr>
      <w:numPr>
        <w:numId w:val="13"/>
      </w:numPr>
    </w:pPr>
  </w:style>
  <w:style w:type="table" w:customStyle="1" w:styleId="Tabelacomgrade1">
    <w:name w:val="Tabela com grade1"/>
    <w:basedOn w:val="Tabelanormal"/>
    <w:next w:val="Tabelacomgrade"/>
    <w:uiPriority w:val="39"/>
    <w:rsid w:val="00E556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Normal"/>
    <w:link w:val="TtuloChar"/>
    <w:uiPriority w:val="10"/>
    <w:qFormat/>
    <w:rsid w:val="0058596C"/>
    <w:pPr>
      <w:pBdr>
        <w:bottom w:val="single" w:sz="8" w:space="4" w:color="4F81BD"/>
      </w:pBdr>
      <w:spacing w:after="300" w:line="240" w:lineRule="auto"/>
      <w:contextualSpacing/>
    </w:pPr>
    <w:rPr>
      <w:rFonts w:ascii="Cambria" w:hAnsi="Cambria" w:cs="Times New Roman"/>
      <w:color w:val="17365D"/>
      <w:spacing w:val="5"/>
      <w:kern w:val="28"/>
      <w:sz w:val="52"/>
      <w:szCs w:val="52"/>
    </w:rPr>
  </w:style>
  <w:style w:type="character" w:customStyle="1" w:styleId="TtuloChar">
    <w:name w:val="Título Char"/>
    <w:link w:val="Ttulo"/>
    <w:uiPriority w:val="10"/>
    <w:rsid w:val="0058596C"/>
    <w:rPr>
      <w:rFonts w:ascii="Cambria" w:eastAsia="Times New Roman" w:hAnsi="Cambria" w:cs="Times New Roman"/>
      <w:color w:val="17365D"/>
      <w:spacing w:val="5"/>
      <w:kern w:val="28"/>
      <w:sz w:val="52"/>
      <w:szCs w:val="52"/>
      <w:lang w:eastAsia="pt-BR"/>
    </w:rPr>
  </w:style>
  <w:style w:type="character" w:styleId="TextodoEspaoReservado">
    <w:name w:val="Placeholder Text"/>
    <w:basedOn w:val="Fontepargpadro"/>
    <w:uiPriority w:val="99"/>
    <w:semiHidden/>
    <w:rsid w:val="00132322"/>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nhideWhenUsed="0" w:qFormat="1"/>
    <w:lsdException w:name="Emphasis" w:semiHidden="0" w:uiPriority="20" w:unhideWhenUsed="0" w:qFormat="1"/>
    <w:lsdException w:name="Document Map"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67DF"/>
    <w:pPr>
      <w:spacing w:line="360" w:lineRule="auto"/>
      <w:jc w:val="center"/>
    </w:pPr>
    <w:rPr>
      <w:rFonts w:ascii="Arial" w:eastAsia="Times New Roman" w:hAnsi="Arial" w:cs="Arial"/>
    </w:rPr>
  </w:style>
  <w:style w:type="paragraph" w:styleId="Ttulo1">
    <w:name w:val="heading 1"/>
    <w:basedOn w:val="Normal"/>
    <w:next w:val="Normal"/>
    <w:link w:val="Ttulo1Char"/>
    <w:uiPriority w:val="99"/>
    <w:qFormat/>
    <w:rsid w:val="00E667DF"/>
    <w:pPr>
      <w:keepNext/>
      <w:numPr>
        <w:numId w:val="1"/>
      </w:numPr>
      <w:pBdr>
        <w:bottom w:val="single" w:sz="8" w:space="1" w:color="auto"/>
      </w:pBdr>
      <w:tabs>
        <w:tab w:val="clear" w:pos="6528"/>
        <w:tab w:val="num" w:pos="0"/>
      </w:tabs>
      <w:spacing w:before="240" w:after="240"/>
      <w:ind w:left="0" w:firstLine="0"/>
      <w:jc w:val="right"/>
      <w:outlineLvl w:val="0"/>
    </w:pPr>
    <w:rPr>
      <w:rFonts w:cs="Times New Roman"/>
      <w:b/>
      <w:bCs/>
      <w:caps/>
      <w:kern w:val="32"/>
      <w:sz w:val="24"/>
      <w:szCs w:val="24"/>
    </w:rPr>
  </w:style>
  <w:style w:type="paragraph" w:styleId="Ttulo2">
    <w:name w:val="heading 2"/>
    <w:basedOn w:val="Normal"/>
    <w:next w:val="Normal"/>
    <w:link w:val="Ttulo2Char"/>
    <w:uiPriority w:val="99"/>
    <w:qFormat/>
    <w:rsid w:val="006F60B2"/>
    <w:pPr>
      <w:keepNext/>
      <w:numPr>
        <w:ilvl w:val="1"/>
        <w:numId w:val="3"/>
      </w:numPr>
      <w:spacing w:before="240" w:after="240"/>
      <w:jc w:val="both"/>
      <w:outlineLvl w:val="1"/>
    </w:pPr>
    <w:rPr>
      <w:rFonts w:cs="Times New Roman"/>
      <w:b/>
      <w:bCs/>
      <w:iCs/>
      <w:sz w:val="24"/>
      <w:szCs w:val="24"/>
    </w:rPr>
  </w:style>
  <w:style w:type="paragraph" w:styleId="Ttulo3">
    <w:name w:val="heading 3"/>
    <w:aliases w:val="LEG TABELA"/>
    <w:basedOn w:val="Normal"/>
    <w:next w:val="Normal"/>
    <w:link w:val="Ttulo3Char"/>
    <w:uiPriority w:val="99"/>
    <w:qFormat/>
    <w:rsid w:val="00E667DF"/>
    <w:pPr>
      <w:keepNext/>
      <w:numPr>
        <w:ilvl w:val="2"/>
        <w:numId w:val="1"/>
      </w:numPr>
      <w:tabs>
        <w:tab w:val="clear" w:pos="720"/>
        <w:tab w:val="left" w:pos="907"/>
      </w:tabs>
      <w:spacing w:before="240" w:after="240"/>
      <w:jc w:val="both"/>
      <w:outlineLvl w:val="2"/>
    </w:pPr>
    <w:rPr>
      <w:rFonts w:cs="Times New Roman"/>
      <w:b/>
      <w:bCs/>
      <w:szCs w:val="26"/>
    </w:rPr>
  </w:style>
  <w:style w:type="paragraph" w:styleId="Ttulo4">
    <w:name w:val="heading 4"/>
    <w:aliases w:val="FONTE TABELA"/>
    <w:basedOn w:val="Normal"/>
    <w:next w:val="Normal"/>
    <w:link w:val="Ttulo4Char"/>
    <w:uiPriority w:val="99"/>
    <w:qFormat/>
    <w:rsid w:val="00E667DF"/>
    <w:pPr>
      <w:keepNext/>
      <w:numPr>
        <w:ilvl w:val="3"/>
        <w:numId w:val="1"/>
      </w:numPr>
      <w:spacing w:before="240" w:after="240"/>
      <w:ind w:left="862" w:hanging="862"/>
      <w:outlineLvl w:val="3"/>
    </w:pPr>
    <w:rPr>
      <w:rFonts w:cs="Times New Roman"/>
      <w:b/>
      <w:bCs/>
    </w:rPr>
  </w:style>
  <w:style w:type="paragraph" w:styleId="Ttulo5">
    <w:name w:val="heading 5"/>
    <w:aliases w:val="CORP TABELA"/>
    <w:basedOn w:val="Normal"/>
    <w:next w:val="Normal"/>
    <w:link w:val="Ttulo5Char"/>
    <w:qFormat/>
    <w:rsid w:val="00E667DF"/>
    <w:pPr>
      <w:numPr>
        <w:ilvl w:val="4"/>
        <w:numId w:val="1"/>
      </w:numPr>
      <w:tabs>
        <w:tab w:val="clear" w:pos="1008"/>
        <w:tab w:val="left" w:pos="1418"/>
      </w:tabs>
      <w:spacing w:before="240" w:after="240"/>
      <w:ind w:left="1009" w:hanging="1009"/>
      <w:outlineLvl w:val="4"/>
    </w:pPr>
    <w:rPr>
      <w:rFonts w:cs="Times New Roman"/>
      <w:b/>
      <w:bCs/>
      <w:iCs/>
    </w:rPr>
  </w:style>
  <w:style w:type="paragraph" w:styleId="Ttulo6">
    <w:name w:val="heading 6"/>
    <w:basedOn w:val="Normal"/>
    <w:next w:val="Normal"/>
    <w:link w:val="Ttulo6Char"/>
    <w:qFormat/>
    <w:rsid w:val="00E667DF"/>
    <w:pPr>
      <w:numPr>
        <w:ilvl w:val="5"/>
        <w:numId w:val="1"/>
      </w:numPr>
      <w:spacing w:before="240" w:after="60"/>
      <w:outlineLvl w:val="5"/>
    </w:pPr>
    <w:rPr>
      <w:rFonts w:ascii="Times New Roman" w:hAnsi="Times New Roman"/>
      <w:b/>
      <w:bCs/>
      <w:sz w:val="22"/>
      <w:szCs w:val="22"/>
    </w:rPr>
  </w:style>
  <w:style w:type="paragraph" w:styleId="Ttulo7">
    <w:name w:val="heading 7"/>
    <w:basedOn w:val="Normal"/>
    <w:next w:val="Normal"/>
    <w:link w:val="Ttulo7Char"/>
    <w:qFormat/>
    <w:rsid w:val="00E667DF"/>
    <w:pPr>
      <w:numPr>
        <w:ilvl w:val="6"/>
        <w:numId w:val="1"/>
      </w:numPr>
      <w:spacing w:before="240" w:after="60"/>
      <w:outlineLvl w:val="6"/>
    </w:pPr>
    <w:rPr>
      <w:rFonts w:ascii="Times New Roman" w:hAnsi="Times New Roman"/>
    </w:rPr>
  </w:style>
  <w:style w:type="paragraph" w:styleId="Ttulo8">
    <w:name w:val="heading 8"/>
    <w:basedOn w:val="Normal"/>
    <w:next w:val="Normal"/>
    <w:link w:val="Ttulo8Char"/>
    <w:qFormat/>
    <w:rsid w:val="00E667DF"/>
    <w:pPr>
      <w:numPr>
        <w:ilvl w:val="7"/>
        <w:numId w:val="1"/>
      </w:numPr>
      <w:spacing w:before="240" w:after="60"/>
      <w:outlineLvl w:val="7"/>
    </w:pPr>
    <w:rPr>
      <w:rFonts w:ascii="Times New Roman" w:hAnsi="Times New Roman"/>
      <w:i/>
      <w:iCs/>
    </w:rPr>
  </w:style>
  <w:style w:type="paragraph" w:styleId="Ttulo9">
    <w:name w:val="heading 9"/>
    <w:basedOn w:val="Normal"/>
    <w:next w:val="Normal"/>
    <w:link w:val="Ttulo9Char"/>
    <w:qFormat/>
    <w:rsid w:val="00E667DF"/>
    <w:pPr>
      <w:numPr>
        <w:ilvl w:val="8"/>
        <w:numId w:val="1"/>
      </w:numPr>
      <w:spacing w:before="240" w:after="60"/>
      <w:outlineLvl w:val="8"/>
    </w:pPr>
    <w:rPr>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uiPriority w:val="99"/>
    <w:rsid w:val="00E667DF"/>
    <w:rPr>
      <w:rFonts w:ascii="Arial" w:eastAsia="Times New Roman" w:hAnsi="Arial" w:cs="Times New Roman"/>
      <w:b/>
      <w:bCs/>
      <w:caps/>
      <w:kern w:val="32"/>
      <w:sz w:val="24"/>
      <w:szCs w:val="24"/>
      <w:lang w:eastAsia="pt-BR"/>
    </w:rPr>
  </w:style>
  <w:style w:type="character" w:customStyle="1" w:styleId="Ttulo2Char">
    <w:name w:val="Título 2 Char"/>
    <w:link w:val="Ttulo2"/>
    <w:uiPriority w:val="99"/>
    <w:rsid w:val="006F60B2"/>
    <w:rPr>
      <w:rFonts w:ascii="Arial" w:eastAsia="Times New Roman" w:hAnsi="Arial" w:cs="Times New Roman"/>
      <w:b/>
      <w:bCs/>
      <w:iCs/>
      <w:sz w:val="24"/>
      <w:szCs w:val="24"/>
      <w:lang w:eastAsia="pt-BR"/>
    </w:rPr>
  </w:style>
  <w:style w:type="character" w:customStyle="1" w:styleId="Ttulo3Char">
    <w:name w:val="Título 3 Char"/>
    <w:aliases w:val="LEG TABELA Char"/>
    <w:link w:val="Ttulo3"/>
    <w:uiPriority w:val="99"/>
    <w:rsid w:val="00E667DF"/>
    <w:rPr>
      <w:rFonts w:ascii="Arial" w:eastAsia="Times New Roman" w:hAnsi="Arial" w:cs="Times New Roman"/>
      <w:b/>
      <w:bCs/>
      <w:sz w:val="20"/>
      <w:szCs w:val="26"/>
      <w:lang w:eastAsia="pt-BR"/>
    </w:rPr>
  </w:style>
  <w:style w:type="character" w:customStyle="1" w:styleId="Ttulo4Char">
    <w:name w:val="Título 4 Char"/>
    <w:aliases w:val="FONTE TABELA Char"/>
    <w:link w:val="Ttulo4"/>
    <w:uiPriority w:val="99"/>
    <w:rsid w:val="00E667DF"/>
    <w:rPr>
      <w:rFonts w:ascii="Arial" w:eastAsia="Times New Roman" w:hAnsi="Arial" w:cs="Times New Roman"/>
      <w:b/>
      <w:bCs/>
      <w:sz w:val="20"/>
      <w:szCs w:val="20"/>
      <w:lang w:eastAsia="pt-BR"/>
    </w:rPr>
  </w:style>
  <w:style w:type="character" w:customStyle="1" w:styleId="Ttulo5Char">
    <w:name w:val="Título 5 Char"/>
    <w:aliases w:val="CORP TABELA Char"/>
    <w:link w:val="Ttulo5"/>
    <w:rsid w:val="00E667DF"/>
    <w:rPr>
      <w:rFonts w:ascii="Arial" w:eastAsia="Times New Roman" w:hAnsi="Arial" w:cs="Times New Roman"/>
      <w:b/>
      <w:bCs/>
      <w:iCs/>
      <w:sz w:val="20"/>
      <w:szCs w:val="20"/>
      <w:lang w:eastAsia="pt-BR"/>
    </w:rPr>
  </w:style>
  <w:style w:type="character" w:customStyle="1" w:styleId="Ttulo6Char">
    <w:name w:val="Título 6 Char"/>
    <w:link w:val="Ttulo6"/>
    <w:rsid w:val="00E667DF"/>
    <w:rPr>
      <w:rFonts w:ascii="Times New Roman" w:eastAsia="Times New Roman" w:hAnsi="Times New Roman" w:cs="Arial"/>
      <w:b/>
      <w:bCs/>
      <w:lang w:eastAsia="pt-BR"/>
    </w:rPr>
  </w:style>
  <w:style w:type="character" w:customStyle="1" w:styleId="Ttulo7Char">
    <w:name w:val="Título 7 Char"/>
    <w:link w:val="Ttulo7"/>
    <w:rsid w:val="00E667DF"/>
    <w:rPr>
      <w:rFonts w:ascii="Times New Roman" w:eastAsia="Times New Roman" w:hAnsi="Times New Roman" w:cs="Arial"/>
      <w:sz w:val="20"/>
      <w:szCs w:val="20"/>
      <w:lang w:eastAsia="pt-BR"/>
    </w:rPr>
  </w:style>
  <w:style w:type="character" w:customStyle="1" w:styleId="Ttulo8Char">
    <w:name w:val="Título 8 Char"/>
    <w:link w:val="Ttulo8"/>
    <w:rsid w:val="00E667DF"/>
    <w:rPr>
      <w:rFonts w:ascii="Times New Roman" w:eastAsia="Times New Roman" w:hAnsi="Times New Roman" w:cs="Arial"/>
      <w:i/>
      <w:iCs/>
      <w:sz w:val="20"/>
      <w:szCs w:val="20"/>
      <w:lang w:eastAsia="pt-BR"/>
    </w:rPr>
  </w:style>
  <w:style w:type="character" w:customStyle="1" w:styleId="Ttulo9Char">
    <w:name w:val="Título 9 Char"/>
    <w:link w:val="Ttulo9"/>
    <w:rsid w:val="00E667DF"/>
    <w:rPr>
      <w:rFonts w:ascii="Arial" w:eastAsia="Times New Roman" w:hAnsi="Arial" w:cs="Arial"/>
      <w:lang w:eastAsia="pt-BR"/>
    </w:rPr>
  </w:style>
  <w:style w:type="paragraph" w:styleId="Legenda">
    <w:name w:val="caption"/>
    <w:basedOn w:val="Normal"/>
    <w:next w:val="Normal"/>
    <w:link w:val="LegendaChar"/>
    <w:autoRedefine/>
    <w:uiPriority w:val="35"/>
    <w:qFormat/>
    <w:rsid w:val="00CD615C"/>
    <w:pPr>
      <w:keepNext/>
      <w:spacing w:before="120" w:after="120" w:line="240" w:lineRule="auto"/>
    </w:pPr>
    <w:rPr>
      <w:bCs/>
      <w:sz w:val="22"/>
      <w:szCs w:val="22"/>
    </w:rPr>
  </w:style>
  <w:style w:type="character" w:customStyle="1" w:styleId="LegendaChar">
    <w:name w:val="Legenda Char"/>
    <w:link w:val="Legenda"/>
    <w:uiPriority w:val="35"/>
    <w:rsid w:val="00CD615C"/>
    <w:rPr>
      <w:rFonts w:ascii="Arial" w:eastAsia="Times New Roman" w:hAnsi="Arial" w:cs="Arial"/>
      <w:bCs/>
      <w:sz w:val="22"/>
      <w:szCs w:val="22"/>
    </w:rPr>
  </w:style>
  <w:style w:type="paragraph" w:customStyle="1" w:styleId="CorpodeTextoCerroAzul">
    <w:name w:val="Corpo de Texto CerroAzul"/>
    <w:basedOn w:val="Normal"/>
    <w:link w:val="CorpodeTextoCerroAzulChar"/>
    <w:qFormat/>
    <w:rsid w:val="00E667DF"/>
    <w:pPr>
      <w:ind w:firstLine="567"/>
      <w:jc w:val="both"/>
    </w:pPr>
    <w:rPr>
      <w:rFonts w:cs="Times New Roman"/>
      <w:sz w:val="24"/>
      <w:szCs w:val="24"/>
    </w:rPr>
  </w:style>
  <w:style w:type="character" w:customStyle="1" w:styleId="CorpodeTextoCerroAzulChar">
    <w:name w:val="Corpo de Texto CerroAzul Char"/>
    <w:link w:val="CorpodeTextoCerroAzul"/>
    <w:rsid w:val="00E667DF"/>
    <w:rPr>
      <w:rFonts w:ascii="Arial" w:eastAsia="Times New Roman" w:hAnsi="Arial" w:cs="Times New Roman"/>
      <w:sz w:val="24"/>
      <w:szCs w:val="24"/>
      <w:lang w:eastAsia="pt-BR"/>
    </w:rPr>
  </w:style>
  <w:style w:type="paragraph" w:customStyle="1" w:styleId="Ttulo1Tagaaba">
    <w:name w:val="Título 1 Tagaçaba"/>
    <w:basedOn w:val="Ttulo1"/>
    <w:link w:val="Ttulo1TagaabaChar"/>
    <w:qFormat/>
    <w:rsid w:val="00E667DF"/>
    <w:rPr>
      <w:b w:val="0"/>
      <w:bCs w:val="0"/>
      <w:caps w:val="0"/>
    </w:rPr>
  </w:style>
  <w:style w:type="character" w:customStyle="1" w:styleId="Ttulo1TagaabaChar">
    <w:name w:val="Título 1 Tagaçaba Char"/>
    <w:link w:val="Ttulo1Tagaaba"/>
    <w:rsid w:val="00E667DF"/>
    <w:rPr>
      <w:rFonts w:ascii="Arial" w:eastAsia="Times New Roman" w:hAnsi="Arial" w:cs="Times New Roman"/>
      <w:kern w:val="32"/>
      <w:sz w:val="24"/>
      <w:szCs w:val="24"/>
      <w:lang w:eastAsia="pt-BR"/>
    </w:rPr>
  </w:style>
  <w:style w:type="paragraph" w:customStyle="1" w:styleId="LegendaCerroAzul">
    <w:name w:val="Legenda CerroAzul"/>
    <w:basedOn w:val="Legenda"/>
    <w:link w:val="LegendaCerroAzulChar"/>
    <w:qFormat/>
    <w:rsid w:val="00E667DF"/>
    <w:pPr>
      <w:framePr w:wrap="around" w:hAnchor="text"/>
    </w:pPr>
    <w:rPr>
      <w:bCs w:val="0"/>
      <w:color w:val="000000"/>
    </w:rPr>
  </w:style>
  <w:style w:type="character" w:customStyle="1" w:styleId="LegendaCerroAzulChar">
    <w:name w:val="Legenda CerroAzul Char"/>
    <w:link w:val="LegendaCerroAzul"/>
    <w:rsid w:val="00E667DF"/>
    <w:rPr>
      <w:rFonts w:ascii="Arial" w:eastAsia="Times New Roman" w:hAnsi="Arial" w:cs="Times New Roman"/>
      <w:color w:val="000000"/>
      <w:sz w:val="20"/>
      <w:szCs w:val="20"/>
      <w:lang w:eastAsia="pt-BR"/>
    </w:rPr>
  </w:style>
  <w:style w:type="paragraph" w:styleId="Textodebalo">
    <w:name w:val="Balloon Text"/>
    <w:basedOn w:val="Normal"/>
    <w:link w:val="TextodebaloChar"/>
    <w:uiPriority w:val="99"/>
    <w:semiHidden/>
    <w:unhideWhenUsed/>
    <w:rsid w:val="00E667DF"/>
    <w:pPr>
      <w:spacing w:line="240" w:lineRule="auto"/>
    </w:pPr>
    <w:rPr>
      <w:rFonts w:ascii="Tahoma" w:hAnsi="Tahoma" w:cs="Tahoma"/>
      <w:sz w:val="16"/>
      <w:szCs w:val="16"/>
    </w:rPr>
  </w:style>
  <w:style w:type="character" w:customStyle="1" w:styleId="TextodebaloChar">
    <w:name w:val="Texto de balão Char"/>
    <w:link w:val="Textodebalo"/>
    <w:uiPriority w:val="99"/>
    <w:semiHidden/>
    <w:rsid w:val="00E667DF"/>
    <w:rPr>
      <w:rFonts w:ascii="Tahoma" w:eastAsia="Times New Roman" w:hAnsi="Tahoma" w:cs="Tahoma"/>
      <w:sz w:val="16"/>
      <w:szCs w:val="16"/>
      <w:lang w:eastAsia="pt-BR"/>
    </w:rPr>
  </w:style>
  <w:style w:type="character" w:styleId="Hyperlink">
    <w:name w:val="Hyperlink"/>
    <w:uiPriority w:val="99"/>
    <w:unhideWhenUsed/>
    <w:rsid w:val="002206C0"/>
    <w:rPr>
      <w:color w:val="0000FF"/>
      <w:u w:val="single"/>
    </w:rPr>
  </w:style>
  <w:style w:type="character" w:styleId="HiperlinkVisitado">
    <w:name w:val="FollowedHyperlink"/>
    <w:uiPriority w:val="99"/>
    <w:unhideWhenUsed/>
    <w:rsid w:val="00597A3A"/>
    <w:rPr>
      <w:color w:val="800080"/>
      <w:u w:val="single"/>
    </w:rPr>
  </w:style>
  <w:style w:type="character" w:styleId="Refdecomentrio">
    <w:name w:val="annotation reference"/>
    <w:uiPriority w:val="99"/>
    <w:unhideWhenUsed/>
    <w:rsid w:val="009D04D0"/>
    <w:rPr>
      <w:sz w:val="16"/>
      <w:szCs w:val="16"/>
    </w:rPr>
  </w:style>
  <w:style w:type="paragraph" w:styleId="Textodecomentrio">
    <w:name w:val="annotation text"/>
    <w:basedOn w:val="Normal"/>
    <w:link w:val="TextodecomentrioChar"/>
    <w:unhideWhenUsed/>
    <w:rsid w:val="009D04D0"/>
    <w:pPr>
      <w:spacing w:line="240" w:lineRule="auto"/>
    </w:pPr>
  </w:style>
  <w:style w:type="character" w:customStyle="1" w:styleId="TextodecomentrioChar">
    <w:name w:val="Texto de comentário Char"/>
    <w:link w:val="Textodecomentrio"/>
    <w:rsid w:val="009D04D0"/>
    <w:rPr>
      <w:rFonts w:ascii="Arial" w:eastAsia="Times New Roman" w:hAnsi="Arial" w:cs="Arial"/>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D04D0"/>
    <w:rPr>
      <w:b/>
      <w:bCs/>
    </w:rPr>
  </w:style>
  <w:style w:type="character" w:customStyle="1" w:styleId="AssuntodocomentrioChar">
    <w:name w:val="Assunto do comentário Char"/>
    <w:link w:val="Assuntodocomentrio"/>
    <w:uiPriority w:val="99"/>
    <w:semiHidden/>
    <w:rsid w:val="009D04D0"/>
    <w:rPr>
      <w:rFonts w:ascii="Arial" w:eastAsia="Times New Roman" w:hAnsi="Arial" w:cs="Arial"/>
      <w:b/>
      <w:bCs/>
      <w:sz w:val="20"/>
      <w:szCs w:val="20"/>
      <w:lang w:eastAsia="pt-BR"/>
    </w:rPr>
  </w:style>
  <w:style w:type="character" w:customStyle="1" w:styleId="apple-converted-space">
    <w:name w:val="apple-converted-space"/>
    <w:basedOn w:val="Fontepargpadro"/>
    <w:rsid w:val="00F25254"/>
  </w:style>
  <w:style w:type="character" w:styleId="Forte">
    <w:name w:val="Strong"/>
    <w:uiPriority w:val="99"/>
    <w:qFormat/>
    <w:rsid w:val="00FF67BF"/>
    <w:rPr>
      <w:b/>
      <w:bCs/>
    </w:rPr>
  </w:style>
  <w:style w:type="table" w:customStyle="1" w:styleId="GradeClara1">
    <w:name w:val="Grade Clara1"/>
    <w:basedOn w:val="Tabelanormal"/>
    <w:uiPriority w:val="62"/>
    <w:rsid w:val="00A96B8E"/>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Tabelacomgrade">
    <w:name w:val="Table Grid"/>
    <w:basedOn w:val="Tabelanormal"/>
    <w:uiPriority w:val="39"/>
    <w:rsid w:val="00A74A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tulo2Tagaaba">
    <w:name w:val="Título 2 Tagaçaba"/>
    <w:basedOn w:val="Ttulo2"/>
    <w:link w:val="Ttulo2TagaabaChar"/>
    <w:qFormat/>
    <w:rsid w:val="00694A4F"/>
    <w:rPr>
      <w:bCs w:val="0"/>
      <w:iCs w:val="0"/>
      <w:caps/>
    </w:rPr>
  </w:style>
  <w:style w:type="character" w:customStyle="1" w:styleId="Ttulo2TagaabaChar">
    <w:name w:val="Título 2 Tagaçaba Char"/>
    <w:link w:val="Ttulo2Tagaaba"/>
    <w:rsid w:val="00694A4F"/>
    <w:rPr>
      <w:rFonts w:ascii="Arial" w:eastAsia="Times New Roman" w:hAnsi="Arial" w:cs="Times New Roman"/>
      <w:b/>
      <w:caps/>
      <w:sz w:val="24"/>
      <w:szCs w:val="24"/>
      <w:lang w:eastAsia="pt-BR"/>
    </w:rPr>
  </w:style>
  <w:style w:type="paragraph" w:styleId="Cabealho">
    <w:name w:val="header"/>
    <w:basedOn w:val="Normal"/>
    <w:link w:val="CabealhoChar"/>
    <w:uiPriority w:val="99"/>
    <w:unhideWhenUsed/>
    <w:rsid w:val="00694A4F"/>
    <w:pPr>
      <w:tabs>
        <w:tab w:val="center" w:pos="4252"/>
        <w:tab w:val="right" w:pos="8504"/>
      </w:tabs>
      <w:spacing w:line="240" w:lineRule="auto"/>
    </w:pPr>
  </w:style>
  <w:style w:type="character" w:customStyle="1" w:styleId="CabealhoChar">
    <w:name w:val="Cabeçalho Char"/>
    <w:link w:val="Cabealho"/>
    <w:uiPriority w:val="99"/>
    <w:rsid w:val="00694A4F"/>
    <w:rPr>
      <w:rFonts w:ascii="Arial" w:eastAsia="Times New Roman" w:hAnsi="Arial" w:cs="Arial"/>
      <w:sz w:val="20"/>
      <w:szCs w:val="20"/>
      <w:lang w:eastAsia="pt-BR"/>
    </w:rPr>
  </w:style>
  <w:style w:type="paragraph" w:styleId="Rodap">
    <w:name w:val="footer"/>
    <w:basedOn w:val="Normal"/>
    <w:link w:val="RodapChar"/>
    <w:uiPriority w:val="99"/>
    <w:unhideWhenUsed/>
    <w:rsid w:val="00694A4F"/>
    <w:pPr>
      <w:tabs>
        <w:tab w:val="center" w:pos="4252"/>
        <w:tab w:val="right" w:pos="8504"/>
      </w:tabs>
      <w:spacing w:line="240" w:lineRule="auto"/>
    </w:pPr>
  </w:style>
  <w:style w:type="character" w:customStyle="1" w:styleId="RodapChar">
    <w:name w:val="Rodapé Char"/>
    <w:link w:val="Rodap"/>
    <w:uiPriority w:val="99"/>
    <w:rsid w:val="00694A4F"/>
    <w:rPr>
      <w:rFonts w:ascii="Arial" w:eastAsia="Times New Roman" w:hAnsi="Arial" w:cs="Arial"/>
      <w:sz w:val="20"/>
      <w:szCs w:val="20"/>
      <w:lang w:eastAsia="pt-BR"/>
    </w:rPr>
  </w:style>
  <w:style w:type="paragraph" w:styleId="PargrafodaLista">
    <w:name w:val="List Paragraph"/>
    <w:basedOn w:val="Normal"/>
    <w:uiPriority w:val="34"/>
    <w:qFormat/>
    <w:rsid w:val="00ED5FDC"/>
    <w:pPr>
      <w:spacing w:after="160" w:line="259" w:lineRule="auto"/>
      <w:ind w:left="720"/>
      <w:contextualSpacing/>
      <w:jc w:val="left"/>
    </w:pPr>
    <w:rPr>
      <w:rFonts w:ascii="Calibri" w:eastAsia="Calibri" w:hAnsi="Calibri" w:cs="Times New Roman"/>
      <w:sz w:val="22"/>
      <w:szCs w:val="22"/>
      <w:lang w:eastAsia="en-US"/>
    </w:rPr>
  </w:style>
  <w:style w:type="character" w:customStyle="1" w:styleId="TextodenotaderodapChar">
    <w:name w:val="Texto de nota de rodapé Char"/>
    <w:aliases w:val="nota de rodapé Char"/>
    <w:link w:val="Textodenotaderodap"/>
    <w:uiPriority w:val="99"/>
    <w:rsid w:val="00ED5FDC"/>
    <w:rPr>
      <w:sz w:val="20"/>
      <w:szCs w:val="20"/>
    </w:rPr>
  </w:style>
  <w:style w:type="paragraph" w:styleId="Textodenotaderodap">
    <w:name w:val="footnote text"/>
    <w:aliases w:val="nota de rodapé"/>
    <w:basedOn w:val="Normal"/>
    <w:link w:val="TextodenotaderodapChar"/>
    <w:uiPriority w:val="99"/>
    <w:unhideWhenUsed/>
    <w:rsid w:val="00ED5FDC"/>
    <w:pPr>
      <w:spacing w:line="240" w:lineRule="auto"/>
      <w:jc w:val="left"/>
    </w:pPr>
    <w:rPr>
      <w:rFonts w:ascii="Calibri" w:eastAsia="Calibri" w:hAnsi="Calibri" w:cs="Times New Roman"/>
      <w:lang w:eastAsia="en-US"/>
    </w:rPr>
  </w:style>
  <w:style w:type="character" w:styleId="Refdenotaderodap">
    <w:name w:val="footnote reference"/>
    <w:uiPriority w:val="99"/>
    <w:unhideWhenUsed/>
    <w:rsid w:val="00ED5FDC"/>
    <w:rPr>
      <w:vertAlign w:val="superscript"/>
    </w:rPr>
  </w:style>
  <w:style w:type="paragraph" w:customStyle="1" w:styleId="Capaecontra-capa">
    <w:name w:val="Capa e contra-capa"/>
    <w:basedOn w:val="Normal"/>
    <w:rsid w:val="008F6315"/>
    <w:rPr>
      <w:b/>
      <w:bCs/>
    </w:rPr>
  </w:style>
  <w:style w:type="paragraph" w:customStyle="1" w:styleId="Ttulodetabela">
    <w:name w:val="Título de tabela"/>
    <w:basedOn w:val="Normal"/>
    <w:rsid w:val="00C76BB5"/>
    <w:rPr>
      <w:b/>
    </w:rPr>
  </w:style>
  <w:style w:type="paragraph" w:customStyle="1" w:styleId="Contedodetabela">
    <w:name w:val="Conteúdo de tabela"/>
    <w:basedOn w:val="Normal"/>
    <w:rsid w:val="00C76BB5"/>
    <w:pPr>
      <w:spacing w:line="240" w:lineRule="auto"/>
    </w:pPr>
  </w:style>
  <w:style w:type="character" w:styleId="Nmerodepgina">
    <w:name w:val="page number"/>
    <w:rsid w:val="00C76BB5"/>
    <w:rPr>
      <w:rFonts w:ascii="Verdana" w:hAnsi="Verdana"/>
      <w:sz w:val="20"/>
    </w:rPr>
  </w:style>
  <w:style w:type="paragraph" w:styleId="Sumrio1">
    <w:name w:val="toc 1"/>
    <w:basedOn w:val="Normal"/>
    <w:next w:val="Normal"/>
    <w:autoRedefine/>
    <w:uiPriority w:val="39"/>
    <w:qFormat/>
    <w:rsid w:val="00132322"/>
    <w:pPr>
      <w:tabs>
        <w:tab w:val="left" w:pos="720"/>
        <w:tab w:val="right" w:pos="9061"/>
      </w:tabs>
      <w:spacing w:line="240" w:lineRule="auto"/>
      <w:jc w:val="right"/>
    </w:pPr>
    <w:rPr>
      <w:b/>
      <w:caps/>
      <w:noProof/>
    </w:rPr>
  </w:style>
  <w:style w:type="paragraph" w:styleId="Sumrio2">
    <w:name w:val="toc 2"/>
    <w:basedOn w:val="Normal"/>
    <w:next w:val="Normal"/>
    <w:autoRedefine/>
    <w:uiPriority w:val="39"/>
    <w:qFormat/>
    <w:rsid w:val="00956D99"/>
    <w:pPr>
      <w:tabs>
        <w:tab w:val="left" w:pos="1000"/>
        <w:tab w:val="right" w:pos="9061"/>
      </w:tabs>
      <w:jc w:val="left"/>
    </w:pPr>
    <w:rPr>
      <w:caps/>
      <w:noProof/>
      <w:snapToGrid w:val="0"/>
      <w:w w:val="0"/>
    </w:rPr>
  </w:style>
  <w:style w:type="paragraph" w:styleId="Sumrio3">
    <w:name w:val="toc 3"/>
    <w:basedOn w:val="Normal"/>
    <w:next w:val="Normal"/>
    <w:autoRedefine/>
    <w:uiPriority w:val="39"/>
    <w:qFormat/>
    <w:rsid w:val="00C76BB5"/>
    <w:pPr>
      <w:jc w:val="left"/>
    </w:pPr>
    <w:rPr>
      <w:smallCaps/>
    </w:rPr>
  </w:style>
  <w:style w:type="paragraph" w:styleId="Sumrio4">
    <w:name w:val="toc 4"/>
    <w:basedOn w:val="Normal"/>
    <w:next w:val="Normal"/>
    <w:autoRedefine/>
    <w:uiPriority w:val="39"/>
    <w:rsid w:val="00C76BB5"/>
    <w:pPr>
      <w:jc w:val="left"/>
    </w:pPr>
  </w:style>
  <w:style w:type="paragraph" w:customStyle="1" w:styleId="Ttulodesumrio">
    <w:name w:val="Título de sumário"/>
    <w:basedOn w:val="Normal"/>
    <w:rsid w:val="00C76BB5"/>
    <w:pPr>
      <w:pBdr>
        <w:bottom w:val="single" w:sz="4" w:space="1" w:color="auto"/>
      </w:pBdr>
      <w:jc w:val="right"/>
    </w:pPr>
    <w:rPr>
      <w:b/>
      <w:caps/>
    </w:rPr>
  </w:style>
  <w:style w:type="paragraph" w:styleId="MapadoDocumento">
    <w:name w:val="Document Map"/>
    <w:basedOn w:val="Normal"/>
    <w:link w:val="MapadoDocumentoChar"/>
    <w:semiHidden/>
    <w:rsid w:val="00C76BB5"/>
    <w:pPr>
      <w:shd w:val="clear" w:color="auto" w:fill="000080"/>
    </w:pPr>
    <w:rPr>
      <w:rFonts w:ascii="Tahoma" w:hAnsi="Tahoma" w:cs="Times New Roman"/>
    </w:rPr>
  </w:style>
  <w:style w:type="character" w:customStyle="1" w:styleId="MapadoDocumentoChar">
    <w:name w:val="Mapa do Documento Char"/>
    <w:link w:val="MapadoDocumento"/>
    <w:semiHidden/>
    <w:rsid w:val="00C76BB5"/>
    <w:rPr>
      <w:rFonts w:ascii="Tahoma" w:eastAsia="Times New Roman" w:hAnsi="Tahoma" w:cs="Times New Roman"/>
      <w:sz w:val="20"/>
      <w:szCs w:val="20"/>
      <w:shd w:val="clear" w:color="auto" w:fill="000080"/>
    </w:rPr>
  </w:style>
  <w:style w:type="paragraph" w:styleId="ndicedeilustraes">
    <w:name w:val="table of figures"/>
    <w:basedOn w:val="Normal"/>
    <w:next w:val="Normal"/>
    <w:autoRedefine/>
    <w:uiPriority w:val="99"/>
    <w:rsid w:val="00E71E66"/>
    <w:pPr>
      <w:tabs>
        <w:tab w:val="right" w:leader="underscore" w:pos="9061"/>
      </w:tabs>
      <w:jc w:val="both"/>
    </w:pPr>
    <w:rPr>
      <w:smallCaps/>
    </w:rPr>
  </w:style>
  <w:style w:type="paragraph" w:styleId="Sumrio5">
    <w:name w:val="toc 5"/>
    <w:basedOn w:val="Normal"/>
    <w:next w:val="Normal"/>
    <w:autoRedefine/>
    <w:uiPriority w:val="39"/>
    <w:rsid w:val="00C76BB5"/>
    <w:pPr>
      <w:jc w:val="left"/>
    </w:pPr>
  </w:style>
  <w:style w:type="paragraph" w:customStyle="1" w:styleId="titulorel">
    <w:name w:val="titulo_rel"/>
    <w:basedOn w:val="Normal"/>
    <w:rsid w:val="00C76BB5"/>
    <w:pPr>
      <w:spacing w:before="2040" w:after="280" w:line="240" w:lineRule="auto"/>
      <w:ind w:left="1418" w:right="1508"/>
    </w:pPr>
    <w:rPr>
      <w:rFonts w:ascii="Times New Roman" w:hAnsi="Times New Roman"/>
      <w:b/>
      <w:sz w:val="36"/>
      <w:u w:val="single"/>
    </w:rPr>
  </w:style>
  <w:style w:type="paragraph" w:customStyle="1" w:styleId="resumoautor">
    <w:name w:val="resumo_autor"/>
    <w:basedOn w:val="Normal"/>
    <w:rsid w:val="00C76BB5"/>
    <w:pPr>
      <w:spacing w:after="120" w:line="240" w:lineRule="auto"/>
    </w:pPr>
    <w:rPr>
      <w:rFonts w:ascii="Times New Roman" w:hAnsi="Times New Roman"/>
    </w:rPr>
  </w:style>
  <w:style w:type="paragraph" w:customStyle="1" w:styleId="resumotit1">
    <w:name w:val="resumo_tit1"/>
    <w:basedOn w:val="resumoautor"/>
    <w:rsid w:val="00C76BB5"/>
  </w:style>
  <w:style w:type="paragraph" w:customStyle="1" w:styleId="resumocorpo">
    <w:name w:val="resumo_corpo"/>
    <w:basedOn w:val="Normal"/>
    <w:rsid w:val="00C76BB5"/>
    <w:pPr>
      <w:spacing w:line="240" w:lineRule="auto"/>
      <w:ind w:firstLine="340"/>
    </w:pPr>
    <w:rPr>
      <w:rFonts w:ascii="Times New Roman" w:hAnsi="Times New Roman"/>
    </w:rPr>
  </w:style>
  <w:style w:type="paragraph" w:customStyle="1" w:styleId="TituloRel1">
    <w:name w:val="Titulo Rel1"/>
    <w:basedOn w:val="Normal"/>
    <w:next w:val="corpodetextoCharChar"/>
    <w:rsid w:val="00C76BB5"/>
    <w:pPr>
      <w:numPr>
        <w:numId w:val="5"/>
      </w:numPr>
      <w:spacing w:before="480" w:after="240" w:line="240" w:lineRule="auto"/>
      <w:jc w:val="left"/>
    </w:pPr>
    <w:rPr>
      <w:rFonts w:ascii="Times New Roman" w:hAnsi="Times New Roman"/>
      <w:b/>
      <w:caps/>
      <w:sz w:val="32"/>
    </w:rPr>
  </w:style>
  <w:style w:type="paragraph" w:customStyle="1" w:styleId="corpodetextoCharChar">
    <w:name w:val="corpo de texto Char Char"/>
    <w:basedOn w:val="Normal"/>
    <w:link w:val="corpodetextoCharCharChar"/>
    <w:rsid w:val="00C76BB5"/>
    <w:pPr>
      <w:ind w:firstLine="709"/>
    </w:pPr>
    <w:rPr>
      <w:rFonts w:ascii="Times New Roman" w:hAnsi="Times New Roman" w:cs="Times New Roman"/>
      <w:sz w:val="24"/>
    </w:rPr>
  </w:style>
  <w:style w:type="character" w:customStyle="1" w:styleId="corpodetextoCharCharChar">
    <w:name w:val="corpo de texto Char Char Char"/>
    <w:link w:val="corpodetextoCharChar"/>
    <w:rsid w:val="00C76BB5"/>
    <w:rPr>
      <w:rFonts w:ascii="Times New Roman" w:eastAsia="Times New Roman" w:hAnsi="Times New Roman" w:cs="Times New Roman"/>
      <w:sz w:val="24"/>
      <w:szCs w:val="20"/>
      <w:lang w:eastAsia="pt-BR"/>
    </w:rPr>
  </w:style>
  <w:style w:type="paragraph" w:customStyle="1" w:styleId="FiguraChar">
    <w:name w:val="Figura Char"/>
    <w:basedOn w:val="Normal"/>
    <w:next w:val="corpodetextoCharChar"/>
    <w:link w:val="FiguraCharChar"/>
    <w:rsid w:val="00C76BB5"/>
    <w:pPr>
      <w:keepNext/>
      <w:spacing w:line="240" w:lineRule="auto"/>
      <w:ind w:left="1134" w:hanging="1134"/>
    </w:pPr>
    <w:rPr>
      <w:rFonts w:ascii="Times New Roman" w:hAnsi="Times New Roman" w:cs="Times New Roman"/>
      <w:sz w:val="24"/>
    </w:rPr>
  </w:style>
  <w:style w:type="character" w:customStyle="1" w:styleId="FiguraCharChar">
    <w:name w:val="Figura Char Char"/>
    <w:link w:val="FiguraChar"/>
    <w:rsid w:val="00C76BB5"/>
    <w:rPr>
      <w:rFonts w:ascii="Times New Roman" w:eastAsia="Times New Roman" w:hAnsi="Times New Roman" w:cs="Times New Roman"/>
      <w:sz w:val="24"/>
      <w:szCs w:val="20"/>
      <w:lang w:eastAsia="pt-BR"/>
    </w:rPr>
  </w:style>
  <w:style w:type="paragraph" w:customStyle="1" w:styleId="TituloRel2">
    <w:name w:val="Titulo Rel2"/>
    <w:basedOn w:val="Normal"/>
    <w:next w:val="corpodetextoCharChar"/>
    <w:rsid w:val="00C76BB5"/>
    <w:pPr>
      <w:numPr>
        <w:ilvl w:val="1"/>
        <w:numId w:val="5"/>
      </w:numPr>
      <w:spacing w:before="480" w:after="240" w:line="240" w:lineRule="auto"/>
      <w:ind w:left="578" w:hanging="578"/>
      <w:jc w:val="left"/>
    </w:pPr>
    <w:rPr>
      <w:rFonts w:ascii="Times New Roman" w:hAnsi="Times New Roman"/>
      <w:b/>
      <w:sz w:val="28"/>
    </w:rPr>
  </w:style>
  <w:style w:type="paragraph" w:customStyle="1" w:styleId="tabela">
    <w:name w:val="tabela"/>
    <w:basedOn w:val="Normal"/>
    <w:qFormat/>
    <w:rsid w:val="00C76BB5"/>
    <w:pPr>
      <w:spacing w:before="480" w:after="240" w:line="240" w:lineRule="auto"/>
      <w:ind w:left="1134" w:hanging="1134"/>
      <w:jc w:val="left"/>
    </w:pPr>
    <w:rPr>
      <w:rFonts w:ascii="Times New Roman" w:hAnsi="Times New Roman"/>
    </w:rPr>
  </w:style>
  <w:style w:type="paragraph" w:customStyle="1" w:styleId="tabelacont">
    <w:name w:val="tabela_cont"/>
    <w:basedOn w:val="Normal"/>
    <w:rsid w:val="00C76BB5"/>
    <w:pPr>
      <w:spacing w:line="240" w:lineRule="auto"/>
      <w:jc w:val="left"/>
    </w:pPr>
    <w:rPr>
      <w:rFonts w:ascii="Times New Roman" w:hAnsi="Times New Roman"/>
    </w:rPr>
  </w:style>
  <w:style w:type="paragraph" w:customStyle="1" w:styleId="TituloRel3">
    <w:name w:val="Titulo Rel3"/>
    <w:basedOn w:val="Normal"/>
    <w:next w:val="corpodetextoCharChar"/>
    <w:rsid w:val="00C76BB5"/>
    <w:pPr>
      <w:numPr>
        <w:ilvl w:val="2"/>
        <w:numId w:val="5"/>
      </w:numPr>
      <w:spacing w:before="240" w:after="120" w:line="240" w:lineRule="auto"/>
      <w:jc w:val="left"/>
    </w:pPr>
    <w:rPr>
      <w:rFonts w:ascii="Times New Roman" w:hAnsi="Times New Roman"/>
      <w:b/>
      <w:i/>
    </w:rPr>
  </w:style>
  <w:style w:type="paragraph" w:customStyle="1" w:styleId="TituloRel4">
    <w:name w:val="Titulo Rel4"/>
    <w:basedOn w:val="Normal"/>
    <w:next w:val="corpodetextoCharChar"/>
    <w:rsid w:val="00C76BB5"/>
    <w:pPr>
      <w:numPr>
        <w:ilvl w:val="4"/>
        <w:numId w:val="5"/>
      </w:numPr>
      <w:tabs>
        <w:tab w:val="clear" w:pos="1440"/>
        <w:tab w:val="num" w:pos="1080"/>
      </w:tabs>
      <w:spacing w:before="120" w:after="120" w:line="240" w:lineRule="auto"/>
      <w:ind w:left="864" w:hanging="864"/>
      <w:jc w:val="left"/>
    </w:pPr>
    <w:rPr>
      <w:rFonts w:ascii="Times New Roman" w:hAnsi="Times New Roman"/>
      <w:i/>
    </w:rPr>
  </w:style>
  <w:style w:type="paragraph" w:customStyle="1" w:styleId="referenciaCharCharChar">
    <w:name w:val="referencia Char Char Char"/>
    <w:basedOn w:val="corpodetextoCharChar"/>
    <w:link w:val="referenciaCharCharCharChar"/>
    <w:rsid w:val="00C76BB5"/>
    <w:pPr>
      <w:spacing w:after="200" w:line="276" w:lineRule="auto"/>
      <w:ind w:firstLine="0"/>
    </w:pPr>
  </w:style>
  <w:style w:type="character" w:customStyle="1" w:styleId="referenciaCharCharCharChar">
    <w:name w:val="referencia Char Char Char Char"/>
    <w:link w:val="referenciaCharCharChar"/>
    <w:rsid w:val="00C76BB5"/>
    <w:rPr>
      <w:rFonts w:ascii="Times New Roman" w:eastAsia="Times New Roman" w:hAnsi="Times New Roman" w:cs="Times New Roman"/>
      <w:sz w:val="24"/>
      <w:szCs w:val="20"/>
      <w:lang w:eastAsia="pt-BR"/>
    </w:rPr>
  </w:style>
  <w:style w:type="paragraph" w:customStyle="1" w:styleId="Marcador">
    <w:name w:val="Marcador"/>
    <w:basedOn w:val="corpodetextoCharChar"/>
    <w:rsid w:val="00C76BB5"/>
    <w:pPr>
      <w:numPr>
        <w:numId w:val="6"/>
      </w:numPr>
      <w:tabs>
        <w:tab w:val="clear" w:pos="927"/>
        <w:tab w:val="num" w:pos="720"/>
      </w:tabs>
      <w:spacing w:before="20" w:after="60" w:line="336" w:lineRule="auto"/>
      <w:ind w:left="924" w:hanging="357"/>
    </w:pPr>
  </w:style>
  <w:style w:type="paragraph" w:customStyle="1" w:styleId="titulorelnome">
    <w:name w:val="titulo_rel_nome"/>
    <w:basedOn w:val="titulorel"/>
    <w:rsid w:val="00C76BB5"/>
  </w:style>
  <w:style w:type="paragraph" w:customStyle="1" w:styleId="sumario">
    <w:name w:val="sumario"/>
    <w:basedOn w:val="Normal"/>
    <w:rsid w:val="00C76BB5"/>
    <w:pPr>
      <w:spacing w:before="240" w:after="120" w:line="240" w:lineRule="auto"/>
      <w:jc w:val="left"/>
    </w:pPr>
    <w:rPr>
      <w:rFonts w:ascii="Times New Roman" w:hAnsi="Times New Roman"/>
      <w:b/>
      <w:sz w:val="32"/>
    </w:rPr>
  </w:style>
  <w:style w:type="paragraph" w:customStyle="1" w:styleId="tituloresumo">
    <w:name w:val="titulo_resumo"/>
    <w:basedOn w:val="titulorel"/>
    <w:rsid w:val="00C76BB5"/>
  </w:style>
  <w:style w:type="paragraph" w:styleId="Sumrio6">
    <w:name w:val="toc 6"/>
    <w:basedOn w:val="Normal"/>
    <w:next w:val="Normal"/>
    <w:autoRedefine/>
    <w:uiPriority w:val="39"/>
    <w:rsid w:val="00C76BB5"/>
    <w:pPr>
      <w:spacing w:line="240" w:lineRule="auto"/>
      <w:ind w:left="1000"/>
      <w:jc w:val="left"/>
    </w:pPr>
    <w:rPr>
      <w:rFonts w:ascii="Times New Roman" w:hAnsi="Times New Roman"/>
    </w:rPr>
  </w:style>
  <w:style w:type="paragraph" w:customStyle="1" w:styleId="TituloRel5">
    <w:name w:val="Titulo Rel5"/>
    <w:basedOn w:val="Normal"/>
    <w:next w:val="corpodetextoCharChar"/>
    <w:rsid w:val="00C76BB5"/>
    <w:pPr>
      <w:tabs>
        <w:tab w:val="num" w:pos="1440"/>
      </w:tabs>
      <w:spacing w:before="120" w:after="120" w:line="240" w:lineRule="auto"/>
      <w:ind w:left="1008" w:hanging="1008"/>
      <w:jc w:val="left"/>
    </w:pPr>
    <w:rPr>
      <w:rFonts w:ascii="Times New Roman" w:hAnsi="Times New Roman"/>
    </w:rPr>
  </w:style>
  <w:style w:type="paragraph" w:styleId="Sumrio7">
    <w:name w:val="toc 7"/>
    <w:basedOn w:val="Normal"/>
    <w:next w:val="Normal"/>
    <w:autoRedefine/>
    <w:uiPriority w:val="39"/>
    <w:rsid w:val="00C76BB5"/>
    <w:pPr>
      <w:spacing w:line="240" w:lineRule="auto"/>
      <w:ind w:left="1200"/>
      <w:jc w:val="left"/>
    </w:pPr>
    <w:rPr>
      <w:rFonts w:ascii="Times New Roman" w:hAnsi="Times New Roman"/>
    </w:rPr>
  </w:style>
  <w:style w:type="paragraph" w:styleId="Sumrio8">
    <w:name w:val="toc 8"/>
    <w:basedOn w:val="Normal"/>
    <w:next w:val="Normal"/>
    <w:autoRedefine/>
    <w:uiPriority w:val="39"/>
    <w:rsid w:val="00C76BB5"/>
    <w:pPr>
      <w:spacing w:line="240" w:lineRule="auto"/>
      <w:ind w:left="1400"/>
      <w:jc w:val="left"/>
    </w:pPr>
    <w:rPr>
      <w:rFonts w:ascii="Times New Roman" w:hAnsi="Times New Roman"/>
    </w:rPr>
  </w:style>
  <w:style w:type="paragraph" w:styleId="Sumrio9">
    <w:name w:val="toc 9"/>
    <w:basedOn w:val="Normal"/>
    <w:next w:val="Normal"/>
    <w:autoRedefine/>
    <w:uiPriority w:val="39"/>
    <w:rsid w:val="00C76BB5"/>
    <w:pPr>
      <w:spacing w:line="240" w:lineRule="auto"/>
      <w:ind w:left="1600"/>
      <w:jc w:val="left"/>
    </w:pPr>
    <w:rPr>
      <w:rFonts w:ascii="Times New Roman" w:hAnsi="Times New Roman"/>
    </w:rPr>
  </w:style>
  <w:style w:type="paragraph" w:styleId="Recuodecorpodetexto">
    <w:name w:val="Body Text Indent"/>
    <w:basedOn w:val="Normal"/>
    <w:link w:val="RecuodecorpodetextoChar"/>
    <w:rsid w:val="00C76BB5"/>
    <w:pPr>
      <w:spacing w:line="276" w:lineRule="auto"/>
      <w:ind w:firstLine="709"/>
    </w:pPr>
    <w:rPr>
      <w:rFonts w:ascii="Times New Roman" w:hAnsi="Times New Roman" w:cs="Times New Roman"/>
      <w:sz w:val="24"/>
      <w:szCs w:val="24"/>
    </w:rPr>
  </w:style>
  <w:style w:type="character" w:customStyle="1" w:styleId="RecuodecorpodetextoChar">
    <w:name w:val="Recuo de corpo de texto Char"/>
    <w:link w:val="Recuodecorpodetexto"/>
    <w:rsid w:val="00C76BB5"/>
    <w:rPr>
      <w:rFonts w:ascii="Times New Roman" w:eastAsia="Times New Roman" w:hAnsi="Times New Roman" w:cs="Times New Roman"/>
      <w:sz w:val="24"/>
      <w:szCs w:val="24"/>
      <w:lang w:eastAsia="pt-BR"/>
    </w:rPr>
  </w:style>
  <w:style w:type="paragraph" w:customStyle="1" w:styleId="corpodetabela">
    <w:name w:val="corpo de tabela"/>
    <w:basedOn w:val="corpodetextoCharChar"/>
    <w:rsid w:val="00C76BB5"/>
    <w:pPr>
      <w:spacing w:before="40" w:after="40" w:line="240" w:lineRule="auto"/>
      <w:ind w:firstLine="0"/>
    </w:pPr>
    <w:rPr>
      <w:sz w:val="22"/>
    </w:rPr>
  </w:style>
  <w:style w:type="paragraph" w:styleId="Recuodecorpodetexto3">
    <w:name w:val="Body Text Indent 3"/>
    <w:basedOn w:val="Normal"/>
    <w:link w:val="Recuodecorpodetexto3Char"/>
    <w:rsid w:val="00C76BB5"/>
    <w:pPr>
      <w:ind w:firstLine="709"/>
    </w:pPr>
    <w:rPr>
      <w:rFonts w:ascii="Times New Roman" w:hAnsi="Times New Roman" w:cs="Times New Roman"/>
      <w:sz w:val="24"/>
    </w:rPr>
  </w:style>
  <w:style w:type="character" w:customStyle="1" w:styleId="Recuodecorpodetexto3Char">
    <w:name w:val="Recuo de corpo de texto 3 Char"/>
    <w:link w:val="Recuodecorpodetexto3"/>
    <w:rsid w:val="00C76BB5"/>
    <w:rPr>
      <w:rFonts w:ascii="Times New Roman" w:eastAsia="Times New Roman" w:hAnsi="Times New Roman" w:cs="Times New Roman"/>
      <w:sz w:val="24"/>
      <w:szCs w:val="20"/>
      <w:lang w:eastAsia="pt-BR"/>
    </w:rPr>
  </w:style>
  <w:style w:type="paragraph" w:customStyle="1" w:styleId="citaoCharChar">
    <w:name w:val="citação Char Char"/>
    <w:basedOn w:val="corpodetextoCharChar"/>
    <w:link w:val="citaoCharCharChar"/>
    <w:rsid w:val="00C76BB5"/>
    <w:rPr>
      <w:smallCaps/>
    </w:rPr>
  </w:style>
  <w:style w:type="character" w:customStyle="1" w:styleId="citaoCharCharChar">
    <w:name w:val="citação Char Char Char"/>
    <w:link w:val="citaoCharChar"/>
    <w:rsid w:val="00C76BB5"/>
    <w:rPr>
      <w:rFonts w:ascii="Times New Roman" w:eastAsia="Times New Roman" w:hAnsi="Times New Roman" w:cs="Times New Roman"/>
      <w:smallCaps/>
      <w:sz w:val="24"/>
      <w:szCs w:val="20"/>
      <w:lang w:eastAsia="pt-BR"/>
    </w:rPr>
  </w:style>
  <w:style w:type="paragraph" w:customStyle="1" w:styleId="Fonte">
    <w:name w:val="Fonte"/>
    <w:basedOn w:val="corpodetextoCharChar"/>
    <w:rsid w:val="00C76BB5"/>
    <w:pPr>
      <w:spacing w:before="60" w:after="300" w:line="240" w:lineRule="auto"/>
      <w:ind w:left="567" w:right="567" w:firstLine="0"/>
    </w:pPr>
  </w:style>
  <w:style w:type="paragraph" w:styleId="Recuodecorpodetexto2">
    <w:name w:val="Body Text Indent 2"/>
    <w:basedOn w:val="Normal"/>
    <w:link w:val="Recuodecorpodetexto2Char"/>
    <w:rsid w:val="00C76BB5"/>
    <w:pPr>
      <w:tabs>
        <w:tab w:val="left" w:pos="709"/>
      </w:tabs>
      <w:ind w:firstLine="709"/>
      <w:jc w:val="left"/>
    </w:pPr>
    <w:rPr>
      <w:rFonts w:ascii="Times New Roman" w:hAnsi="Times New Roman" w:cs="Times New Roman"/>
      <w:sz w:val="24"/>
    </w:rPr>
  </w:style>
  <w:style w:type="character" w:customStyle="1" w:styleId="Recuodecorpodetexto2Char">
    <w:name w:val="Recuo de corpo de texto 2 Char"/>
    <w:link w:val="Recuodecorpodetexto2"/>
    <w:rsid w:val="00C76BB5"/>
    <w:rPr>
      <w:rFonts w:ascii="Times New Roman" w:eastAsia="Times New Roman" w:hAnsi="Times New Roman" w:cs="Times New Roman"/>
      <w:sz w:val="24"/>
      <w:szCs w:val="20"/>
      <w:lang w:eastAsia="pt-BR"/>
    </w:rPr>
  </w:style>
  <w:style w:type="paragraph" w:customStyle="1" w:styleId="textocitado">
    <w:name w:val="texto citado"/>
    <w:basedOn w:val="corpodetextoCharChar"/>
    <w:rsid w:val="00C76BB5"/>
    <w:pPr>
      <w:spacing w:before="100" w:after="200" w:line="264" w:lineRule="auto"/>
      <w:ind w:left="567" w:right="567" w:firstLine="0"/>
    </w:pPr>
    <w:rPr>
      <w:sz w:val="22"/>
    </w:rPr>
  </w:style>
  <w:style w:type="paragraph" w:styleId="Corpodetexto2">
    <w:name w:val="Body Text 2"/>
    <w:basedOn w:val="Normal"/>
    <w:link w:val="Corpodetexto2Char"/>
    <w:rsid w:val="00C76BB5"/>
    <w:pPr>
      <w:spacing w:after="120" w:line="480" w:lineRule="auto"/>
      <w:jc w:val="left"/>
    </w:pPr>
    <w:rPr>
      <w:rFonts w:ascii="Times New Roman" w:hAnsi="Times New Roman" w:cs="Times New Roman"/>
      <w:sz w:val="24"/>
      <w:szCs w:val="24"/>
    </w:rPr>
  </w:style>
  <w:style w:type="character" w:customStyle="1" w:styleId="Corpodetexto2Char">
    <w:name w:val="Corpo de texto 2 Char"/>
    <w:link w:val="Corpodetexto2"/>
    <w:rsid w:val="00C76BB5"/>
    <w:rPr>
      <w:rFonts w:ascii="Times New Roman" w:eastAsia="Times New Roman" w:hAnsi="Times New Roman" w:cs="Times New Roman"/>
      <w:sz w:val="24"/>
      <w:szCs w:val="24"/>
      <w:lang w:eastAsia="pt-BR"/>
    </w:rPr>
  </w:style>
  <w:style w:type="paragraph" w:styleId="Corpodetexto">
    <w:name w:val="Body Text"/>
    <w:basedOn w:val="Normal"/>
    <w:link w:val="CorpodetextoChar"/>
    <w:rsid w:val="00C76BB5"/>
    <w:pPr>
      <w:spacing w:after="120" w:line="240" w:lineRule="auto"/>
      <w:jc w:val="left"/>
    </w:pPr>
    <w:rPr>
      <w:rFonts w:ascii="Times New Roman" w:hAnsi="Times New Roman" w:cs="Times New Roman"/>
      <w:sz w:val="24"/>
      <w:szCs w:val="24"/>
    </w:rPr>
  </w:style>
  <w:style w:type="character" w:customStyle="1" w:styleId="CorpodetextoChar">
    <w:name w:val="Corpo de texto Char"/>
    <w:link w:val="Corpodetexto"/>
    <w:rsid w:val="00C76BB5"/>
    <w:rPr>
      <w:rFonts w:ascii="Times New Roman" w:eastAsia="Times New Roman" w:hAnsi="Times New Roman" w:cs="Times New Roman"/>
      <w:sz w:val="24"/>
      <w:szCs w:val="24"/>
      <w:lang w:eastAsia="pt-BR"/>
    </w:rPr>
  </w:style>
  <w:style w:type="paragraph" w:styleId="NormalWeb">
    <w:name w:val="Normal (Web)"/>
    <w:basedOn w:val="Normal"/>
    <w:link w:val="NormalWebChar"/>
    <w:uiPriority w:val="99"/>
    <w:rsid w:val="00C76BB5"/>
    <w:pPr>
      <w:spacing w:before="100" w:beforeAutospacing="1" w:after="100" w:afterAutospacing="1" w:line="240" w:lineRule="auto"/>
      <w:jc w:val="left"/>
    </w:pPr>
    <w:rPr>
      <w:rFonts w:ascii="Times New Roman" w:hAnsi="Times New Roman" w:cs="Times New Roman"/>
    </w:rPr>
  </w:style>
  <w:style w:type="character" w:customStyle="1" w:styleId="NormalWebChar">
    <w:name w:val="Normal (Web) Char"/>
    <w:link w:val="NormalWeb"/>
    <w:uiPriority w:val="99"/>
    <w:rsid w:val="00C76BB5"/>
    <w:rPr>
      <w:rFonts w:ascii="Times New Roman" w:eastAsia="Times New Roman" w:hAnsi="Times New Roman" w:cs="Times New Roman"/>
      <w:sz w:val="20"/>
      <w:szCs w:val="20"/>
      <w:lang w:eastAsia="pt-BR"/>
    </w:rPr>
  </w:style>
  <w:style w:type="paragraph" w:customStyle="1" w:styleId="referenciaCharChar">
    <w:name w:val="referencia Char Char"/>
    <w:basedOn w:val="Normal"/>
    <w:link w:val="referenciaCharCharChar1"/>
    <w:rsid w:val="00C76BB5"/>
    <w:pPr>
      <w:spacing w:after="200" w:line="276" w:lineRule="auto"/>
    </w:pPr>
    <w:rPr>
      <w:rFonts w:ascii="Times New Roman" w:hAnsi="Times New Roman" w:cs="Times New Roman"/>
      <w:sz w:val="24"/>
      <w:szCs w:val="24"/>
    </w:rPr>
  </w:style>
  <w:style w:type="character" w:customStyle="1" w:styleId="referenciaCharCharChar1">
    <w:name w:val="referencia Char Char Char1"/>
    <w:link w:val="referenciaCharChar"/>
    <w:rsid w:val="00C76BB5"/>
    <w:rPr>
      <w:rFonts w:ascii="Times New Roman" w:eastAsia="Times New Roman" w:hAnsi="Times New Roman" w:cs="Times New Roman"/>
      <w:sz w:val="24"/>
      <w:szCs w:val="24"/>
      <w:lang w:eastAsia="pt-BR"/>
    </w:rPr>
  </w:style>
  <w:style w:type="paragraph" w:customStyle="1" w:styleId="Figura">
    <w:name w:val="Figura"/>
    <w:basedOn w:val="Normal"/>
    <w:rsid w:val="00C76BB5"/>
    <w:pPr>
      <w:keepNext/>
      <w:spacing w:line="312" w:lineRule="auto"/>
      <w:ind w:left="1077" w:hanging="1077"/>
    </w:pPr>
    <w:rPr>
      <w:rFonts w:ascii="Times New Roman" w:hAnsi="Times New Roman"/>
    </w:rPr>
  </w:style>
  <w:style w:type="paragraph" w:customStyle="1" w:styleId="Tabela-ttulointerno">
    <w:name w:val="Tabela - título interno"/>
    <w:basedOn w:val="Normal"/>
    <w:rsid w:val="00C76BB5"/>
    <w:pPr>
      <w:spacing w:before="20" w:after="20" w:line="240" w:lineRule="auto"/>
    </w:pPr>
    <w:rPr>
      <w:rFonts w:ascii="Times New Roman" w:hAnsi="Times New Roman"/>
      <w:b/>
      <w:bCs/>
      <w:sz w:val="22"/>
      <w:szCs w:val="22"/>
    </w:rPr>
  </w:style>
  <w:style w:type="paragraph" w:customStyle="1" w:styleId="Tabela-nmeros">
    <w:name w:val="Tabela - números"/>
    <w:basedOn w:val="Normal"/>
    <w:rsid w:val="00C76BB5"/>
    <w:pPr>
      <w:spacing w:line="240" w:lineRule="auto"/>
      <w:jc w:val="right"/>
    </w:pPr>
    <w:rPr>
      <w:rFonts w:ascii="Times New Roman" w:hAnsi="Times New Roman"/>
      <w:sz w:val="22"/>
    </w:rPr>
  </w:style>
  <w:style w:type="paragraph" w:customStyle="1" w:styleId="Tabela-textos">
    <w:name w:val="Tabela - textos"/>
    <w:basedOn w:val="Normal"/>
    <w:rsid w:val="00C76BB5"/>
    <w:pPr>
      <w:spacing w:line="240" w:lineRule="auto"/>
      <w:jc w:val="left"/>
    </w:pPr>
    <w:rPr>
      <w:rFonts w:ascii="Times New Roman" w:hAnsi="Times New Roman"/>
      <w:sz w:val="22"/>
      <w:szCs w:val="22"/>
    </w:rPr>
  </w:style>
  <w:style w:type="paragraph" w:customStyle="1" w:styleId="EstiloTabela-textos">
    <w:name w:val="Estilo Tabela - textos"/>
    <w:basedOn w:val="Tabela-textos"/>
    <w:rsid w:val="00C76BB5"/>
    <w:rPr>
      <w:szCs w:val="20"/>
    </w:rPr>
  </w:style>
  <w:style w:type="paragraph" w:customStyle="1" w:styleId="RefernciaBibliogrficas">
    <w:name w:val="Referência Bibliográficas"/>
    <w:basedOn w:val="Normal"/>
    <w:link w:val="RefernciaBibliogrficasChar"/>
    <w:rsid w:val="00C76BB5"/>
    <w:pPr>
      <w:spacing w:after="200" w:line="276" w:lineRule="auto"/>
    </w:pPr>
    <w:rPr>
      <w:rFonts w:ascii="Times New Roman" w:hAnsi="Times New Roman" w:cs="Times New Roman"/>
      <w:caps/>
      <w:sz w:val="24"/>
      <w:szCs w:val="24"/>
    </w:rPr>
  </w:style>
  <w:style w:type="character" w:customStyle="1" w:styleId="RefernciaBibliogrficasChar">
    <w:name w:val="Referência Bibliográficas Char"/>
    <w:link w:val="RefernciaBibliogrficas"/>
    <w:rsid w:val="00C76BB5"/>
    <w:rPr>
      <w:rFonts w:ascii="Times New Roman" w:eastAsia="Times New Roman" w:hAnsi="Times New Roman" w:cs="Times New Roman"/>
      <w:caps/>
      <w:sz w:val="24"/>
      <w:szCs w:val="24"/>
      <w:lang w:eastAsia="pt-BR"/>
    </w:rPr>
  </w:style>
  <w:style w:type="paragraph" w:customStyle="1" w:styleId="Tabela-nmeros1">
    <w:name w:val="Tabela - números1"/>
    <w:basedOn w:val="Tabela-nmeros"/>
    <w:rsid w:val="00C76BB5"/>
    <w:rPr>
      <w:color w:val="000000"/>
      <w:szCs w:val="22"/>
    </w:rPr>
  </w:style>
  <w:style w:type="paragraph" w:customStyle="1" w:styleId="referencia">
    <w:name w:val="referencia"/>
    <w:basedOn w:val="Normal"/>
    <w:rsid w:val="00C76BB5"/>
    <w:pPr>
      <w:spacing w:after="200" w:line="276" w:lineRule="auto"/>
    </w:pPr>
    <w:rPr>
      <w:rFonts w:ascii="Times New Roman" w:hAnsi="Times New Roman"/>
    </w:rPr>
  </w:style>
  <w:style w:type="paragraph" w:customStyle="1" w:styleId="RoteiroMetodolgico2CharCharCharCharChar">
    <w:name w:val="Roteiro Metodológico 2 Char Char Char Char Char"/>
    <w:basedOn w:val="Normal"/>
    <w:link w:val="RoteiroMetodolgico2CharCharCharCharCharChar"/>
    <w:rsid w:val="00C76BB5"/>
    <w:pPr>
      <w:spacing w:line="240" w:lineRule="auto"/>
    </w:pPr>
    <w:rPr>
      <w:rFonts w:ascii="Times New Roman" w:hAnsi="Times New Roman" w:cs="Times New Roman"/>
      <w:b/>
      <w:color w:val="FFFFFF"/>
    </w:rPr>
  </w:style>
  <w:style w:type="character" w:customStyle="1" w:styleId="RoteiroMetodolgico2CharCharCharCharCharChar">
    <w:name w:val="Roteiro Metodológico 2 Char Char Char Char Char Char"/>
    <w:link w:val="RoteiroMetodolgico2CharCharCharCharChar"/>
    <w:rsid w:val="00C76BB5"/>
    <w:rPr>
      <w:rFonts w:ascii="Times New Roman" w:eastAsia="Times New Roman" w:hAnsi="Times New Roman" w:cs="Times New Roman"/>
      <w:b/>
      <w:color w:val="FFFFFF"/>
      <w:lang w:eastAsia="pt-BR"/>
    </w:rPr>
  </w:style>
  <w:style w:type="paragraph" w:customStyle="1" w:styleId="RoteiroMetodolgico2CharCharCharChar">
    <w:name w:val="Roteiro Metodológico 2 Char Char Char Char"/>
    <w:basedOn w:val="Normal"/>
    <w:link w:val="RoteiroMetodolgico2CharCharCharCharChar1"/>
    <w:rsid w:val="00C76BB5"/>
    <w:pPr>
      <w:spacing w:line="240" w:lineRule="auto"/>
    </w:pPr>
    <w:rPr>
      <w:rFonts w:ascii="Times New Roman" w:hAnsi="Times New Roman" w:cs="Times New Roman"/>
      <w:b/>
      <w:color w:val="FFFFFF"/>
    </w:rPr>
  </w:style>
  <w:style w:type="character" w:customStyle="1" w:styleId="RoteiroMetodolgico2CharCharCharCharChar1">
    <w:name w:val="Roteiro Metodológico 2 Char Char Char Char Char1"/>
    <w:link w:val="RoteiroMetodolgico2CharCharCharChar"/>
    <w:rsid w:val="00C76BB5"/>
    <w:rPr>
      <w:rFonts w:ascii="Times New Roman" w:eastAsia="Times New Roman" w:hAnsi="Times New Roman" w:cs="Times New Roman"/>
      <w:b/>
      <w:color w:val="FFFFFF"/>
      <w:lang w:eastAsia="pt-BR"/>
    </w:rPr>
  </w:style>
  <w:style w:type="paragraph" w:customStyle="1" w:styleId="corpodetextoCharCharCharChar">
    <w:name w:val="corpo de texto Char Char Char Char"/>
    <w:basedOn w:val="Normal"/>
    <w:link w:val="corpodetextoCharCharCharCharChar"/>
    <w:rsid w:val="00C76BB5"/>
    <w:pPr>
      <w:ind w:firstLine="709"/>
    </w:pPr>
    <w:rPr>
      <w:rFonts w:ascii="Times New Roman" w:hAnsi="Times New Roman" w:cs="Times New Roman"/>
      <w:sz w:val="24"/>
    </w:rPr>
  </w:style>
  <w:style w:type="character" w:customStyle="1" w:styleId="corpodetextoCharCharCharCharChar">
    <w:name w:val="corpo de texto Char Char Char Char Char"/>
    <w:link w:val="corpodetextoCharCharCharChar"/>
    <w:rsid w:val="00C76BB5"/>
    <w:rPr>
      <w:rFonts w:ascii="Times New Roman" w:eastAsia="Times New Roman" w:hAnsi="Times New Roman" w:cs="Times New Roman"/>
      <w:sz w:val="24"/>
      <w:szCs w:val="20"/>
      <w:lang w:eastAsia="pt-BR"/>
    </w:rPr>
  </w:style>
  <w:style w:type="paragraph" w:customStyle="1" w:styleId="referenciaChar">
    <w:name w:val="referencia Char"/>
    <w:basedOn w:val="Corpodetexto"/>
    <w:rsid w:val="00C76BB5"/>
    <w:pPr>
      <w:spacing w:after="200" w:line="276" w:lineRule="auto"/>
      <w:jc w:val="both"/>
    </w:pPr>
  </w:style>
  <w:style w:type="paragraph" w:customStyle="1" w:styleId="RoteiroMetodolgico2CharCharChar">
    <w:name w:val="Roteiro Metodológico 2 Char Char Char"/>
    <w:basedOn w:val="Normal"/>
    <w:rsid w:val="00C76BB5"/>
    <w:pPr>
      <w:spacing w:line="240" w:lineRule="auto"/>
    </w:pPr>
    <w:rPr>
      <w:rFonts w:ascii="Times New Roman" w:hAnsi="Times New Roman"/>
      <w:b/>
      <w:color w:val="FFFFFF"/>
      <w:sz w:val="22"/>
      <w:szCs w:val="22"/>
    </w:rPr>
  </w:style>
  <w:style w:type="paragraph" w:customStyle="1" w:styleId="RoteiroMetodolgico2CharChar">
    <w:name w:val="Roteiro Metodológico 2 Char Char"/>
    <w:basedOn w:val="Normal"/>
    <w:rsid w:val="00C76BB5"/>
    <w:pPr>
      <w:spacing w:line="240" w:lineRule="auto"/>
    </w:pPr>
    <w:rPr>
      <w:rFonts w:ascii="Times New Roman" w:hAnsi="Times New Roman"/>
      <w:b/>
      <w:color w:val="FFFFFF"/>
      <w:sz w:val="22"/>
      <w:szCs w:val="22"/>
    </w:rPr>
  </w:style>
  <w:style w:type="paragraph" w:customStyle="1" w:styleId="corpodetexto0">
    <w:name w:val="corpo de texto"/>
    <w:basedOn w:val="Normal"/>
    <w:rsid w:val="00C76BB5"/>
    <w:pPr>
      <w:spacing w:line="240" w:lineRule="auto"/>
      <w:ind w:firstLine="709"/>
    </w:pPr>
    <w:rPr>
      <w:rFonts w:ascii="Times New Roman" w:hAnsi="Times New Roman"/>
    </w:rPr>
  </w:style>
  <w:style w:type="paragraph" w:customStyle="1" w:styleId="corpo">
    <w:name w:val="corpo"/>
    <w:basedOn w:val="Normal"/>
    <w:rsid w:val="00C76BB5"/>
    <w:pPr>
      <w:spacing w:before="100" w:beforeAutospacing="1" w:after="100" w:afterAutospacing="1" w:line="240" w:lineRule="auto"/>
      <w:jc w:val="left"/>
    </w:pPr>
    <w:rPr>
      <w:color w:val="000000"/>
      <w:sz w:val="17"/>
      <w:szCs w:val="17"/>
    </w:rPr>
  </w:style>
  <w:style w:type="character" w:styleId="nfase">
    <w:name w:val="Emphasis"/>
    <w:uiPriority w:val="20"/>
    <w:qFormat/>
    <w:rsid w:val="00C76BB5"/>
    <w:rPr>
      <w:i/>
      <w:iCs/>
    </w:rPr>
  </w:style>
  <w:style w:type="paragraph" w:customStyle="1" w:styleId="CorpodeTexto1">
    <w:name w:val="Corpo de Texto"/>
    <w:basedOn w:val="Normal"/>
    <w:rsid w:val="00C76BB5"/>
    <w:pPr>
      <w:ind w:firstLine="709"/>
    </w:pPr>
    <w:rPr>
      <w:rFonts w:ascii="Times New Roman" w:hAnsi="Times New Roman"/>
    </w:rPr>
  </w:style>
  <w:style w:type="paragraph" w:styleId="Textodenotadefim">
    <w:name w:val="endnote text"/>
    <w:basedOn w:val="Normal"/>
    <w:link w:val="TextodenotadefimChar"/>
    <w:rsid w:val="00C76BB5"/>
    <w:rPr>
      <w:rFonts w:ascii="Verdana" w:hAnsi="Verdana" w:cs="Times New Roman"/>
    </w:rPr>
  </w:style>
  <w:style w:type="character" w:customStyle="1" w:styleId="TextodenotadefimChar">
    <w:name w:val="Texto de nota de fim Char"/>
    <w:link w:val="Textodenotadefim"/>
    <w:rsid w:val="00C76BB5"/>
    <w:rPr>
      <w:rFonts w:ascii="Verdana" w:eastAsia="Times New Roman" w:hAnsi="Verdana" w:cs="Times New Roman"/>
      <w:sz w:val="20"/>
      <w:szCs w:val="20"/>
      <w:lang w:eastAsia="pt-BR"/>
    </w:rPr>
  </w:style>
  <w:style w:type="character" w:styleId="Refdenotadefim">
    <w:name w:val="endnote reference"/>
    <w:rsid w:val="00C76BB5"/>
    <w:rPr>
      <w:vertAlign w:val="superscript"/>
    </w:rPr>
  </w:style>
  <w:style w:type="paragraph" w:customStyle="1" w:styleId="Contedodatabela">
    <w:name w:val="Conteúdo da tabela"/>
    <w:basedOn w:val="Normal"/>
    <w:rsid w:val="00C76BB5"/>
    <w:pPr>
      <w:widowControl w:val="0"/>
      <w:suppressLineNumbers/>
      <w:suppressAutoHyphens/>
      <w:spacing w:line="240" w:lineRule="auto"/>
      <w:jc w:val="left"/>
    </w:pPr>
    <w:rPr>
      <w:rFonts w:ascii="Times New Roman" w:eastAsia="Lucida Sans Unicode" w:hAnsi="Times New Roman"/>
      <w:kern w:val="1"/>
    </w:rPr>
  </w:style>
  <w:style w:type="character" w:customStyle="1" w:styleId="apple-style-span">
    <w:name w:val="apple-style-span"/>
    <w:basedOn w:val="Fontepargpadro"/>
    <w:rsid w:val="00C76BB5"/>
  </w:style>
  <w:style w:type="paragraph" w:customStyle="1" w:styleId="Tabela0">
    <w:name w:val="Tabela"/>
    <w:basedOn w:val="Ttulo6"/>
    <w:next w:val="Normal"/>
    <w:link w:val="TabelaChar"/>
    <w:rsid w:val="00C76BB5"/>
    <w:pPr>
      <w:keepNext/>
      <w:numPr>
        <w:ilvl w:val="0"/>
        <w:numId w:val="0"/>
      </w:numPr>
      <w:spacing w:before="0" w:after="0" w:line="240" w:lineRule="auto"/>
      <w:jc w:val="left"/>
    </w:pPr>
    <w:rPr>
      <w:rFonts w:ascii="Futura Lt BT" w:hAnsi="Futura Lt BT" w:cs="Times New Roman"/>
      <w:b w:val="0"/>
      <w:bCs w:val="0"/>
      <w:sz w:val="20"/>
      <w:szCs w:val="20"/>
    </w:rPr>
  </w:style>
  <w:style w:type="character" w:customStyle="1" w:styleId="TabelaChar">
    <w:name w:val="Tabela Char"/>
    <w:link w:val="Tabela0"/>
    <w:rsid w:val="00C76BB5"/>
    <w:rPr>
      <w:rFonts w:ascii="Futura Lt BT" w:eastAsia="Times New Roman" w:hAnsi="Futura Lt BT" w:cs="Times New Roman"/>
      <w:sz w:val="20"/>
      <w:szCs w:val="20"/>
    </w:rPr>
  </w:style>
  <w:style w:type="paragraph" w:customStyle="1" w:styleId="LegendaP">
    <w:name w:val="Legenda P"/>
    <w:basedOn w:val="Normal"/>
    <w:rsid w:val="00C76BB5"/>
    <w:pPr>
      <w:keepNext/>
      <w:spacing w:line="240" w:lineRule="auto"/>
      <w:outlineLvl w:val="5"/>
    </w:pPr>
    <w:rPr>
      <w:rFonts w:ascii="Futura Lt BT" w:hAnsi="Futura Lt BT"/>
      <w:sz w:val="16"/>
    </w:rPr>
  </w:style>
  <w:style w:type="paragraph" w:customStyle="1" w:styleId="Standard">
    <w:name w:val="Standard"/>
    <w:rsid w:val="00C76BB5"/>
    <w:pPr>
      <w:suppressAutoHyphens/>
      <w:autoSpaceDN w:val="0"/>
      <w:spacing w:line="360" w:lineRule="auto"/>
      <w:jc w:val="both"/>
      <w:textAlignment w:val="baseline"/>
    </w:pPr>
    <w:rPr>
      <w:rFonts w:ascii="Verdana" w:eastAsia="Times New Roman" w:hAnsi="Verdana"/>
      <w:kern w:val="3"/>
      <w:sz w:val="24"/>
      <w:szCs w:val="24"/>
    </w:rPr>
  </w:style>
  <w:style w:type="character" w:customStyle="1" w:styleId="st">
    <w:name w:val="st"/>
    <w:basedOn w:val="Fontepargpadro"/>
    <w:rsid w:val="00C76BB5"/>
  </w:style>
  <w:style w:type="paragraph" w:customStyle="1" w:styleId="Ttulo2CerroAzul">
    <w:name w:val="Título 2 CerroAzul"/>
    <w:basedOn w:val="NormalWeb"/>
    <w:link w:val="Ttulo1CerroAzulChar1"/>
    <w:rsid w:val="00C76BB5"/>
    <w:pPr>
      <w:numPr>
        <w:numId w:val="7"/>
      </w:numPr>
      <w:shd w:val="clear" w:color="auto" w:fill="FFFFFF"/>
      <w:spacing w:before="120" w:beforeAutospacing="0" w:after="120" w:afterAutospacing="0" w:line="360" w:lineRule="auto"/>
      <w:ind w:left="0" w:firstLine="0"/>
      <w:jc w:val="both"/>
      <w:outlineLvl w:val="1"/>
    </w:pPr>
  </w:style>
  <w:style w:type="character" w:customStyle="1" w:styleId="Ttulo1CerroAzulChar1">
    <w:name w:val="Título 1 CerroAzul Char1"/>
    <w:link w:val="Ttulo2CerroAzul"/>
    <w:rsid w:val="00C76BB5"/>
    <w:rPr>
      <w:rFonts w:ascii="Times New Roman" w:eastAsia="Times New Roman" w:hAnsi="Times New Roman" w:cs="Times New Roman"/>
      <w:sz w:val="20"/>
      <w:szCs w:val="20"/>
      <w:shd w:val="clear" w:color="auto" w:fill="FFFFFF"/>
      <w:lang w:eastAsia="pt-BR"/>
    </w:rPr>
  </w:style>
  <w:style w:type="paragraph" w:customStyle="1" w:styleId="TabelaCerroAzul">
    <w:name w:val="Tabela CerroAzul"/>
    <w:basedOn w:val="Normal"/>
    <w:link w:val="TabelaCerroAzulChar"/>
    <w:rsid w:val="00C76BB5"/>
    <w:pPr>
      <w:autoSpaceDE w:val="0"/>
      <w:autoSpaceDN w:val="0"/>
      <w:adjustRightInd w:val="0"/>
    </w:pPr>
    <w:rPr>
      <w:rFonts w:cs="Times New Roman"/>
    </w:rPr>
  </w:style>
  <w:style w:type="character" w:customStyle="1" w:styleId="TabelaCerroAzulChar">
    <w:name w:val="Tabela CerroAzul Char"/>
    <w:link w:val="TabelaCerroAzul"/>
    <w:rsid w:val="00C76BB5"/>
    <w:rPr>
      <w:rFonts w:ascii="Arial" w:eastAsia="Times New Roman" w:hAnsi="Arial" w:cs="Times New Roman"/>
      <w:sz w:val="20"/>
      <w:szCs w:val="20"/>
      <w:lang w:eastAsia="pt-BR"/>
    </w:rPr>
  </w:style>
  <w:style w:type="paragraph" w:customStyle="1" w:styleId="Ttulo3Tagaaba">
    <w:name w:val="Título 3 Tagaçaba"/>
    <w:basedOn w:val="Ttulo3"/>
    <w:link w:val="Ttulo3TagaabaChar"/>
    <w:qFormat/>
    <w:rsid w:val="00C76BB5"/>
    <w:pPr>
      <w:ind w:left="709" w:hanging="709"/>
    </w:pPr>
    <w:rPr>
      <w:sz w:val="24"/>
      <w:szCs w:val="24"/>
    </w:rPr>
  </w:style>
  <w:style w:type="character" w:customStyle="1" w:styleId="Ttulo3TagaabaChar">
    <w:name w:val="Título 3 Tagaçaba Char"/>
    <w:link w:val="Ttulo3Tagaaba"/>
    <w:rsid w:val="00C76BB5"/>
    <w:rPr>
      <w:rFonts w:ascii="Arial" w:eastAsia="Times New Roman" w:hAnsi="Arial" w:cs="Times New Roman"/>
      <w:b/>
      <w:bCs/>
      <w:sz w:val="24"/>
      <w:szCs w:val="24"/>
      <w:lang w:eastAsia="pt-BR"/>
    </w:rPr>
  </w:style>
  <w:style w:type="paragraph" w:customStyle="1" w:styleId="CorpoTabela">
    <w:name w:val="Corpo Tabela"/>
    <w:basedOn w:val="Legenda"/>
    <w:link w:val="CorpoTabelaChar"/>
    <w:qFormat/>
    <w:rsid w:val="00C76BB5"/>
    <w:pPr>
      <w:framePr w:wrap="around" w:hAnchor="text"/>
    </w:pPr>
  </w:style>
  <w:style w:type="character" w:customStyle="1" w:styleId="CorpoTabelaChar">
    <w:name w:val="Corpo Tabela Char"/>
    <w:link w:val="CorpoTabela"/>
    <w:rsid w:val="00C76BB5"/>
    <w:rPr>
      <w:rFonts w:ascii="Arial" w:eastAsia="Times New Roman" w:hAnsi="Arial" w:cs="Times New Roman"/>
      <w:bCs/>
      <w:sz w:val="20"/>
      <w:szCs w:val="20"/>
      <w:lang w:eastAsia="pt-BR"/>
    </w:rPr>
  </w:style>
  <w:style w:type="paragraph" w:customStyle="1" w:styleId="BibliografiaCerroAzul">
    <w:name w:val="Bibliografia CerroAzul"/>
    <w:basedOn w:val="CorpodeTextoCerroAzul"/>
    <w:link w:val="BibliografiaCerroAzulChar"/>
    <w:qFormat/>
    <w:rsid w:val="00C76BB5"/>
    <w:pPr>
      <w:ind w:firstLine="0"/>
    </w:pPr>
    <w:rPr>
      <w:b/>
      <w:bCs/>
      <w:iCs/>
    </w:rPr>
  </w:style>
  <w:style w:type="character" w:customStyle="1" w:styleId="BibliografiaCerroAzulChar">
    <w:name w:val="Bibliografia CerroAzul Char"/>
    <w:link w:val="BibliografiaCerroAzul"/>
    <w:rsid w:val="00C76BB5"/>
    <w:rPr>
      <w:rFonts w:ascii="Arial" w:eastAsia="Times New Roman" w:hAnsi="Arial" w:cs="Times New Roman"/>
      <w:b/>
      <w:bCs/>
      <w:iCs/>
      <w:sz w:val="24"/>
      <w:szCs w:val="24"/>
      <w:lang w:eastAsia="pt-BR"/>
    </w:rPr>
  </w:style>
  <w:style w:type="paragraph" w:customStyle="1" w:styleId="CitaoDiretaCerroAzul">
    <w:name w:val="Citação Direta CerroAzul"/>
    <w:basedOn w:val="CorpodeTextoCerroAzul"/>
    <w:link w:val="CitaoDiretaCerroAzulChar"/>
    <w:qFormat/>
    <w:rsid w:val="00C76BB5"/>
    <w:pPr>
      <w:spacing w:before="240" w:after="240" w:line="288" w:lineRule="auto"/>
      <w:ind w:left="2268" w:firstLine="0"/>
    </w:pPr>
    <w:rPr>
      <w:b/>
      <w:bCs/>
      <w:iCs/>
    </w:rPr>
  </w:style>
  <w:style w:type="character" w:customStyle="1" w:styleId="CitaoDiretaCerroAzulChar">
    <w:name w:val="Citação Direta CerroAzul Char"/>
    <w:link w:val="CitaoDiretaCerroAzul"/>
    <w:rsid w:val="00C76BB5"/>
    <w:rPr>
      <w:rFonts w:ascii="Arial" w:eastAsia="Times New Roman" w:hAnsi="Arial" w:cs="Times New Roman"/>
      <w:b/>
      <w:bCs/>
      <w:iCs/>
      <w:sz w:val="24"/>
      <w:szCs w:val="24"/>
      <w:lang w:eastAsia="pt-BR"/>
    </w:rPr>
  </w:style>
  <w:style w:type="paragraph" w:customStyle="1" w:styleId="Ttulo4Tagaaba">
    <w:name w:val="Título 4 Tagaçaba"/>
    <w:basedOn w:val="Ttulo4"/>
    <w:link w:val="Ttulo4TagaabaChar"/>
    <w:qFormat/>
    <w:rsid w:val="00C76BB5"/>
    <w:pPr>
      <w:ind w:left="709" w:hanging="709"/>
      <w:jc w:val="both"/>
    </w:pPr>
    <w:rPr>
      <w:bCs w:val="0"/>
      <w:sz w:val="24"/>
      <w:szCs w:val="24"/>
    </w:rPr>
  </w:style>
  <w:style w:type="character" w:customStyle="1" w:styleId="Ttulo4TagaabaChar">
    <w:name w:val="Título 4 Tagaçaba Char"/>
    <w:link w:val="Ttulo4Tagaaba"/>
    <w:rsid w:val="00C76BB5"/>
    <w:rPr>
      <w:rFonts w:ascii="Arial" w:eastAsia="Times New Roman" w:hAnsi="Arial" w:cs="Times New Roman"/>
      <w:b/>
      <w:sz w:val="24"/>
      <w:szCs w:val="24"/>
      <w:lang w:eastAsia="pt-BR"/>
    </w:rPr>
  </w:style>
  <w:style w:type="paragraph" w:customStyle="1" w:styleId="Legenda1">
    <w:name w:val="Legenda1"/>
    <w:basedOn w:val="Normal"/>
    <w:rsid w:val="00C76BB5"/>
    <w:pPr>
      <w:tabs>
        <w:tab w:val="left" w:pos="567"/>
      </w:tabs>
      <w:suppressAutoHyphens/>
      <w:jc w:val="both"/>
      <w:textAlignment w:val="baseline"/>
    </w:pPr>
    <w:rPr>
      <w:rFonts w:ascii="Verdana" w:hAnsi="Verdana"/>
      <w:bCs/>
      <w:color w:val="00000A"/>
      <w:kern w:val="1"/>
      <w:sz w:val="24"/>
      <w:szCs w:val="24"/>
    </w:rPr>
  </w:style>
  <w:style w:type="paragraph" w:styleId="SemEspaamento">
    <w:name w:val="No Spacing"/>
    <w:uiPriority w:val="1"/>
    <w:qFormat/>
    <w:rsid w:val="00C76BB5"/>
    <w:pPr>
      <w:jc w:val="both"/>
    </w:pPr>
    <w:rPr>
      <w:rFonts w:ascii="Times New Roman" w:hAnsi="Times New Roman"/>
      <w:sz w:val="24"/>
      <w:szCs w:val="22"/>
      <w:lang w:eastAsia="en-US"/>
    </w:rPr>
  </w:style>
  <w:style w:type="paragraph" w:customStyle="1" w:styleId="Ttulo5CerroAzul">
    <w:name w:val="Título 5 CerroAzul"/>
    <w:basedOn w:val="Ttulo5"/>
    <w:link w:val="Ttulo5CerroAzulChar"/>
    <w:qFormat/>
    <w:rsid w:val="00C76BB5"/>
    <w:pPr>
      <w:ind w:left="0" w:firstLine="1009"/>
      <w:jc w:val="both"/>
    </w:pPr>
    <w:rPr>
      <w:b w:val="0"/>
      <w:bCs w:val="0"/>
      <w:iCs w:val="0"/>
      <w:sz w:val="24"/>
      <w:szCs w:val="24"/>
    </w:rPr>
  </w:style>
  <w:style w:type="character" w:customStyle="1" w:styleId="Ttulo5CerroAzulChar">
    <w:name w:val="Título 5 CerroAzul Char"/>
    <w:link w:val="Ttulo5CerroAzul"/>
    <w:rsid w:val="00C76BB5"/>
    <w:rPr>
      <w:rFonts w:ascii="Arial" w:eastAsia="Times New Roman" w:hAnsi="Arial" w:cs="Times New Roman"/>
      <w:sz w:val="24"/>
      <w:szCs w:val="24"/>
      <w:lang w:eastAsia="pt-BR"/>
    </w:rPr>
  </w:style>
  <w:style w:type="character" w:styleId="CitaoHTML">
    <w:name w:val="HTML Cite"/>
    <w:uiPriority w:val="99"/>
    <w:rsid w:val="00C76BB5"/>
    <w:rPr>
      <w:rFonts w:cs="Times New Roman"/>
      <w:color w:val="388222"/>
    </w:rPr>
  </w:style>
  <w:style w:type="paragraph" w:customStyle="1" w:styleId="Ttulo2CerroAzul1">
    <w:name w:val="Título 2 CerroAzul1"/>
    <w:basedOn w:val="Ttulo2"/>
    <w:link w:val="Ttulo2CerroAzul1Char"/>
    <w:qFormat/>
    <w:rsid w:val="00C76BB5"/>
    <w:pPr>
      <w:numPr>
        <w:ilvl w:val="0"/>
        <w:numId w:val="0"/>
      </w:numPr>
      <w:ind w:left="578" w:hanging="578"/>
    </w:pPr>
    <w:rPr>
      <w:bCs w:val="0"/>
      <w:iCs w:val="0"/>
    </w:rPr>
  </w:style>
  <w:style w:type="character" w:customStyle="1" w:styleId="Ttulo2CerroAzul1Char">
    <w:name w:val="Título 2 CerroAzul1 Char"/>
    <w:link w:val="Ttulo2CerroAzul1"/>
    <w:rsid w:val="00C76BB5"/>
    <w:rPr>
      <w:rFonts w:ascii="Arial" w:eastAsia="Times New Roman" w:hAnsi="Arial" w:cs="Times New Roman"/>
      <w:b/>
      <w:sz w:val="24"/>
      <w:szCs w:val="24"/>
      <w:lang w:eastAsia="pt-BR"/>
    </w:rPr>
  </w:style>
  <w:style w:type="character" w:customStyle="1" w:styleId="CommentSubjectChar">
    <w:name w:val="Comment Subject Char"/>
    <w:uiPriority w:val="99"/>
    <w:semiHidden/>
    <w:locked/>
    <w:rsid w:val="00C76BB5"/>
    <w:rPr>
      <w:rFonts w:ascii="Arial" w:hAnsi="Arial"/>
      <w:b/>
      <w:sz w:val="20"/>
    </w:rPr>
  </w:style>
  <w:style w:type="character" w:customStyle="1" w:styleId="CommentSubjectChar1">
    <w:name w:val="Comment Subject Char1"/>
    <w:uiPriority w:val="99"/>
    <w:semiHidden/>
    <w:rsid w:val="00C76BB5"/>
    <w:rPr>
      <w:rFonts w:ascii="Arial" w:hAnsi="Arial"/>
      <w:b/>
      <w:sz w:val="20"/>
      <w:lang w:val="pt-BR" w:eastAsia="en-US"/>
    </w:rPr>
  </w:style>
  <w:style w:type="character" w:customStyle="1" w:styleId="EndnoteTextChar">
    <w:name w:val="Endnote Text Char"/>
    <w:uiPriority w:val="99"/>
    <w:semiHidden/>
    <w:locked/>
    <w:rsid w:val="00C76BB5"/>
    <w:rPr>
      <w:rFonts w:ascii="Arial" w:hAnsi="Arial"/>
      <w:sz w:val="20"/>
    </w:rPr>
  </w:style>
  <w:style w:type="character" w:customStyle="1" w:styleId="EndnoteTextChar1">
    <w:name w:val="Endnote Text Char1"/>
    <w:uiPriority w:val="99"/>
    <w:semiHidden/>
    <w:rsid w:val="00C76BB5"/>
    <w:rPr>
      <w:rFonts w:ascii="Arial" w:hAnsi="Arial"/>
      <w:sz w:val="20"/>
      <w:lang w:val="pt-BR" w:eastAsia="en-US"/>
    </w:rPr>
  </w:style>
  <w:style w:type="paragraph" w:styleId="CabealhodoSumrio">
    <w:name w:val="TOC Heading"/>
    <w:basedOn w:val="Ttulo1"/>
    <w:next w:val="Normal"/>
    <w:uiPriority w:val="39"/>
    <w:qFormat/>
    <w:rsid w:val="00C76BB5"/>
    <w:pPr>
      <w:keepLines/>
      <w:numPr>
        <w:numId w:val="0"/>
      </w:numPr>
      <w:pBdr>
        <w:bottom w:val="none" w:sz="0" w:space="0" w:color="auto"/>
      </w:pBdr>
      <w:spacing w:before="480" w:after="0" w:line="276" w:lineRule="auto"/>
      <w:jc w:val="left"/>
      <w:outlineLvl w:val="9"/>
    </w:pPr>
    <w:rPr>
      <w:rFonts w:ascii="Cambria" w:eastAsia="Calibri" w:hAnsi="Cambria"/>
      <w:bCs w:val="0"/>
      <w:caps w:val="0"/>
      <w:color w:val="365F91"/>
      <w:kern w:val="0"/>
      <w:sz w:val="28"/>
      <w:szCs w:val="20"/>
    </w:rPr>
  </w:style>
  <w:style w:type="paragraph" w:customStyle="1" w:styleId="ContedodeTabela0">
    <w:name w:val="Conteúdo de Tabela"/>
    <w:basedOn w:val="Normal"/>
    <w:uiPriority w:val="99"/>
    <w:rsid w:val="00C76BB5"/>
    <w:rPr>
      <w:rFonts w:eastAsia="Calibri" w:cs="Times New Roman"/>
      <w:bCs/>
      <w:color w:val="000000"/>
      <w:szCs w:val="22"/>
      <w:lang w:eastAsia="en-US"/>
    </w:rPr>
  </w:style>
  <w:style w:type="paragraph" w:customStyle="1" w:styleId="Ttulo1CerroAzul">
    <w:name w:val="Título 1 CerroAzul"/>
    <w:basedOn w:val="Ttulo1"/>
    <w:link w:val="Ttulo1CerroAzulChar"/>
    <w:qFormat/>
    <w:rsid w:val="003652F7"/>
    <w:pPr>
      <w:tabs>
        <w:tab w:val="clear" w:pos="0"/>
        <w:tab w:val="num" w:pos="6528"/>
      </w:tabs>
      <w:ind w:left="6528" w:hanging="432"/>
    </w:pPr>
    <w:rPr>
      <w:rFonts w:cs="Arial"/>
    </w:rPr>
  </w:style>
  <w:style w:type="character" w:customStyle="1" w:styleId="Ttulo1CerroAzulChar">
    <w:name w:val="Título 1 CerroAzul Char"/>
    <w:link w:val="Ttulo1CerroAzul"/>
    <w:rsid w:val="003652F7"/>
    <w:rPr>
      <w:rFonts w:ascii="Arial" w:eastAsia="Times New Roman" w:hAnsi="Arial" w:cs="Arial"/>
      <w:b/>
      <w:bCs/>
      <w:caps/>
      <w:kern w:val="32"/>
      <w:sz w:val="24"/>
      <w:szCs w:val="24"/>
    </w:rPr>
  </w:style>
  <w:style w:type="paragraph" w:customStyle="1" w:styleId="Ttulo3CerroAzul">
    <w:name w:val="Título 3 CerroAzul"/>
    <w:basedOn w:val="Ttulo3"/>
    <w:link w:val="Ttulo3CerroAzulChar"/>
    <w:qFormat/>
    <w:rsid w:val="003652F7"/>
    <w:pPr>
      <w:tabs>
        <w:tab w:val="num" w:pos="720"/>
      </w:tabs>
    </w:pPr>
    <w:rPr>
      <w:rFonts w:cs="Arial"/>
      <w:sz w:val="24"/>
      <w:szCs w:val="24"/>
    </w:rPr>
  </w:style>
  <w:style w:type="character" w:customStyle="1" w:styleId="Ttulo3CerroAzulChar">
    <w:name w:val="Título 3 CerroAzul Char"/>
    <w:link w:val="Ttulo3CerroAzul"/>
    <w:rsid w:val="003652F7"/>
    <w:rPr>
      <w:rFonts w:ascii="Arial" w:eastAsia="Times New Roman" w:hAnsi="Arial" w:cs="Arial"/>
      <w:b w:val="0"/>
      <w:bCs w:val="0"/>
      <w:sz w:val="24"/>
      <w:szCs w:val="24"/>
      <w:lang w:eastAsia="pt-BR"/>
    </w:rPr>
  </w:style>
  <w:style w:type="paragraph" w:customStyle="1" w:styleId="Ttulo4CerroAzul">
    <w:name w:val="Título 4 CerroAzul"/>
    <w:basedOn w:val="Ttulo4"/>
    <w:link w:val="Ttulo4CerroAzulChar"/>
    <w:qFormat/>
    <w:rsid w:val="003652F7"/>
    <w:pPr>
      <w:ind w:left="0" w:firstLine="890"/>
      <w:jc w:val="both"/>
    </w:pPr>
    <w:rPr>
      <w:rFonts w:cs="Arial"/>
      <w:b w:val="0"/>
      <w:i/>
      <w:sz w:val="24"/>
      <w:szCs w:val="24"/>
      <w:u w:val="single"/>
    </w:rPr>
  </w:style>
  <w:style w:type="character" w:customStyle="1" w:styleId="Ttulo4CerroAzulChar">
    <w:name w:val="Título 4 CerroAzul Char"/>
    <w:link w:val="Ttulo4CerroAzul"/>
    <w:rsid w:val="003652F7"/>
    <w:rPr>
      <w:rFonts w:ascii="Arial" w:eastAsia="Times New Roman" w:hAnsi="Arial" w:cs="Arial"/>
      <w:b w:val="0"/>
      <w:bCs w:val="0"/>
      <w:i/>
      <w:sz w:val="24"/>
      <w:szCs w:val="24"/>
      <w:u w:val="single"/>
      <w:lang w:eastAsia="pt-BR"/>
    </w:rPr>
  </w:style>
  <w:style w:type="paragraph" w:customStyle="1" w:styleId="TtuloLegenda">
    <w:name w:val="Título Legenda"/>
    <w:basedOn w:val="Normal"/>
    <w:link w:val="TtuloLegendaChar"/>
    <w:qFormat/>
    <w:rsid w:val="003652F7"/>
    <w:rPr>
      <w:rFonts w:eastAsia="Calibri" w:cs="Times New Roman"/>
      <w:color w:val="000000"/>
    </w:rPr>
  </w:style>
  <w:style w:type="character" w:customStyle="1" w:styleId="TtuloLegendaChar">
    <w:name w:val="Título Legenda Char"/>
    <w:link w:val="TtuloLegenda"/>
    <w:rsid w:val="003652F7"/>
    <w:rPr>
      <w:rFonts w:ascii="Arial" w:eastAsia="Calibri" w:hAnsi="Arial" w:cs="Times New Roman"/>
      <w:color w:val="000000"/>
      <w:sz w:val="20"/>
      <w:szCs w:val="20"/>
    </w:rPr>
  </w:style>
  <w:style w:type="paragraph" w:customStyle="1" w:styleId="Default">
    <w:name w:val="Default"/>
    <w:rsid w:val="00E55671"/>
    <w:pPr>
      <w:autoSpaceDE w:val="0"/>
      <w:autoSpaceDN w:val="0"/>
      <w:adjustRightInd w:val="0"/>
    </w:pPr>
    <w:rPr>
      <w:rFonts w:ascii="Arial" w:eastAsia="Times New Roman" w:hAnsi="Arial" w:cs="Arial"/>
      <w:color w:val="000000"/>
      <w:sz w:val="24"/>
      <w:szCs w:val="24"/>
      <w:lang w:eastAsia="en-US"/>
    </w:rPr>
  </w:style>
  <w:style w:type="paragraph" w:customStyle="1" w:styleId="Normal1">
    <w:name w:val="Normal1"/>
    <w:rsid w:val="00E55671"/>
    <w:pPr>
      <w:spacing w:after="200" w:line="276" w:lineRule="auto"/>
    </w:pPr>
    <w:rPr>
      <w:rFonts w:cs="Calibri"/>
      <w:color w:val="000000"/>
      <w:sz w:val="22"/>
      <w:szCs w:val="22"/>
    </w:rPr>
  </w:style>
  <w:style w:type="character" w:customStyle="1" w:styleId="LigaodeInternet">
    <w:name w:val="Ligação de Internet"/>
    <w:rsid w:val="00E55671"/>
    <w:rPr>
      <w:color w:val="000080"/>
      <w:u w:val="single"/>
    </w:rPr>
  </w:style>
  <w:style w:type="table" w:customStyle="1" w:styleId="TableNormal">
    <w:name w:val="Table Normal"/>
    <w:rsid w:val="00E55671"/>
    <w:pPr>
      <w:spacing w:line="276" w:lineRule="auto"/>
    </w:pPr>
    <w:rPr>
      <w:rFonts w:ascii="Arial" w:eastAsia="Arial" w:hAnsi="Arial" w:cs="Arial"/>
      <w:color w:val="000000"/>
      <w:sz w:val="22"/>
      <w:szCs w:val="22"/>
      <w:lang w:eastAsia="zh-CN" w:bidi="hi-IN"/>
    </w:rPr>
    <w:tblPr>
      <w:tblCellMar>
        <w:top w:w="0" w:type="dxa"/>
        <w:left w:w="0" w:type="dxa"/>
        <w:bottom w:w="0" w:type="dxa"/>
        <w:right w:w="0" w:type="dxa"/>
      </w:tblCellMar>
    </w:tblPr>
  </w:style>
  <w:style w:type="character" w:customStyle="1" w:styleId="apple-tab-span">
    <w:name w:val="apple-tab-span"/>
    <w:basedOn w:val="Fontepargpadro"/>
    <w:rsid w:val="00E55671"/>
  </w:style>
  <w:style w:type="character" w:customStyle="1" w:styleId="article-title">
    <w:name w:val="article-title"/>
    <w:basedOn w:val="Fontepargpadro"/>
    <w:rsid w:val="00E55671"/>
  </w:style>
  <w:style w:type="paragraph" w:customStyle="1" w:styleId="ref">
    <w:name w:val="ref"/>
    <w:basedOn w:val="Normal"/>
    <w:rsid w:val="00E55671"/>
    <w:pPr>
      <w:spacing w:before="100" w:beforeAutospacing="1" w:after="100" w:afterAutospacing="1" w:line="240" w:lineRule="auto"/>
      <w:jc w:val="left"/>
    </w:pPr>
    <w:rPr>
      <w:rFonts w:ascii="Times New Roman" w:hAnsi="Times New Roman" w:cs="Times New Roman"/>
      <w:sz w:val="24"/>
      <w:szCs w:val="24"/>
    </w:rPr>
  </w:style>
  <w:style w:type="paragraph" w:styleId="Reviso">
    <w:name w:val="Revision"/>
    <w:hidden/>
    <w:uiPriority w:val="99"/>
    <w:semiHidden/>
    <w:rsid w:val="00E55671"/>
    <w:rPr>
      <w:rFonts w:ascii="Arial" w:eastAsia="Times New Roman" w:hAnsi="Arial" w:cs="Arial"/>
    </w:rPr>
  </w:style>
  <w:style w:type="table" w:customStyle="1" w:styleId="ListaClara1">
    <w:name w:val="Lista Clara1"/>
    <w:basedOn w:val="Tabelanormal"/>
    <w:uiPriority w:val="61"/>
    <w:rsid w:val="00E55671"/>
    <w:rPr>
      <w:rFonts w:eastAsia="Times New Roma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emlista1">
    <w:name w:val="Sem lista1"/>
    <w:next w:val="Semlista"/>
    <w:uiPriority w:val="99"/>
    <w:semiHidden/>
    <w:unhideWhenUsed/>
    <w:rsid w:val="00E55671"/>
  </w:style>
  <w:style w:type="table" w:styleId="SombreamentoClaro-nfase3">
    <w:name w:val="Light Shading Accent 3"/>
    <w:basedOn w:val="Tabelanormal"/>
    <w:uiPriority w:val="60"/>
    <w:rsid w:val="00E55671"/>
    <w:rPr>
      <w:color w:val="76923C"/>
      <w:lang w:val="en-U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GradeMdia3-nfase3">
    <w:name w:val="Medium Grid 3 Accent 3"/>
    <w:basedOn w:val="Tabelanormal"/>
    <w:uiPriority w:val="69"/>
    <w:rsid w:val="00E55671"/>
    <w:rPr>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GradeMdia2-nfase3">
    <w:name w:val="Medium Grid 2 Accent 3"/>
    <w:basedOn w:val="Tabelanormal"/>
    <w:uiPriority w:val="68"/>
    <w:rsid w:val="00E55671"/>
    <w:rPr>
      <w:rFonts w:ascii="Cambria" w:eastAsia="Times New Roman" w:hAnsi="Cambria"/>
      <w:color w:val="000000"/>
      <w:lang w:val="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GradeMdia1-nfase3">
    <w:name w:val="Medium Grid 1 Accent 3"/>
    <w:basedOn w:val="Tabelanormal"/>
    <w:uiPriority w:val="67"/>
    <w:rsid w:val="00E55671"/>
    <w:rPr>
      <w:lang w:val="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GradeClara-nfase3">
    <w:name w:val="Light Grid Accent 3"/>
    <w:basedOn w:val="Tabelanormal"/>
    <w:uiPriority w:val="62"/>
    <w:rsid w:val="00E55671"/>
    <w:rPr>
      <w:lang w:val="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numbering" w:customStyle="1" w:styleId="Estilo1">
    <w:name w:val="Estilo1"/>
    <w:uiPriority w:val="99"/>
    <w:rsid w:val="00E55671"/>
    <w:pPr>
      <w:numPr>
        <w:numId w:val="12"/>
      </w:numPr>
    </w:pPr>
  </w:style>
  <w:style w:type="numbering" w:customStyle="1" w:styleId="Estilo2">
    <w:name w:val="Estilo2"/>
    <w:uiPriority w:val="99"/>
    <w:rsid w:val="00E55671"/>
    <w:pPr>
      <w:numPr>
        <w:numId w:val="13"/>
      </w:numPr>
    </w:pPr>
  </w:style>
  <w:style w:type="table" w:customStyle="1" w:styleId="Tabelacomgrade1">
    <w:name w:val="Tabela com grade1"/>
    <w:basedOn w:val="Tabelanormal"/>
    <w:next w:val="Tabelacomgrade"/>
    <w:uiPriority w:val="39"/>
    <w:rsid w:val="00E556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Normal"/>
    <w:link w:val="TtuloChar"/>
    <w:uiPriority w:val="10"/>
    <w:qFormat/>
    <w:rsid w:val="0058596C"/>
    <w:pPr>
      <w:pBdr>
        <w:bottom w:val="single" w:sz="8" w:space="4" w:color="4F81BD"/>
      </w:pBdr>
      <w:spacing w:after="300" w:line="240" w:lineRule="auto"/>
      <w:contextualSpacing/>
    </w:pPr>
    <w:rPr>
      <w:rFonts w:ascii="Cambria" w:hAnsi="Cambria" w:cs="Times New Roman"/>
      <w:color w:val="17365D"/>
      <w:spacing w:val="5"/>
      <w:kern w:val="28"/>
      <w:sz w:val="52"/>
      <w:szCs w:val="52"/>
    </w:rPr>
  </w:style>
  <w:style w:type="character" w:customStyle="1" w:styleId="TtuloChar">
    <w:name w:val="Título Char"/>
    <w:link w:val="Ttulo"/>
    <w:uiPriority w:val="10"/>
    <w:rsid w:val="0058596C"/>
    <w:rPr>
      <w:rFonts w:ascii="Cambria" w:eastAsia="Times New Roman" w:hAnsi="Cambria" w:cs="Times New Roman"/>
      <w:color w:val="17365D"/>
      <w:spacing w:val="5"/>
      <w:kern w:val="28"/>
      <w:sz w:val="52"/>
      <w:szCs w:val="52"/>
      <w:lang w:eastAsia="pt-BR"/>
    </w:rPr>
  </w:style>
  <w:style w:type="character" w:styleId="TextodoEspaoReservado">
    <w:name w:val="Placeholder Text"/>
    <w:basedOn w:val="Fontepargpadro"/>
    <w:uiPriority w:val="99"/>
    <w:semiHidden/>
    <w:rsid w:val="0013232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3983142">
      <w:bodyDiv w:val="1"/>
      <w:marLeft w:val="0"/>
      <w:marRight w:val="0"/>
      <w:marTop w:val="0"/>
      <w:marBottom w:val="0"/>
      <w:divBdr>
        <w:top w:val="none" w:sz="0" w:space="0" w:color="auto"/>
        <w:left w:val="none" w:sz="0" w:space="0" w:color="auto"/>
        <w:bottom w:val="none" w:sz="0" w:space="0" w:color="auto"/>
        <w:right w:val="none" w:sz="0" w:space="0" w:color="auto"/>
      </w:divBdr>
    </w:div>
    <w:div w:id="295570204">
      <w:bodyDiv w:val="1"/>
      <w:marLeft w:val="0"/>
      <w:marRight w:val="0"/>
      <w:marTop w:val="0"/>
      <w:marBottom w:val="0"/>
      <w:divBdr>
        <w:top w:val="none" w:sz="0" w:space="0" w:color="auto"/>
        <w:left w:val="none" w:sz="0" w:space="0" w:color="auto"/>
        <w:bottom w:val="none" w:sz="0" w:space="0" w:color="auto"/>
        <w:right w:val="none" w:sz="0" w:space="0" w:color="auto"/>
      </w:divBdr>
      <w:divsChild>
        <w:div w:id="2000570717">
          <w:marLeft w:val="720"/>
          <w:marRight w:val="0"/>
          <w:marTop w:val="0"/>
          <w:marBottom w:val="200"/>
          <w:divBdr>
            <w:top w:val="none" w:sz="0" w:space="0" w:color="auto"/>
            <w:left w:val="none" w:sz="0" w:space="0" w:color="auto"/>
            <w:bottom w:val="none" w:sz="0" w:space="0" w:color="auto"/>
            <w:right w:val="none" w:sz="0" w:space="0" w:color="auto"/>
          </w:divBdr>
        </w:div>
      </w:divsChild>
    </w:div>
    <w:div w:id="310839866">
      <w:bodyDiv w:val="1"/>
      <w:marLeft w:val="0"/>
      <w:marRight w:val="0"/>
      <w:marTop w:val="0"/>
      <w:marBottom w:val="0"/>
      <w:divBdr>
        <w:top w:val="none" w:sz="0" w:space="0" w:color="auto"/>
        <w:left w:val="none" w:sz="0" w:space="0" w:color="auto"/>
        <w:bottom w:val="none" w:sz="0" w:space="0" w:color="auto"/>
        <w:right w:val="none" w:sz="0" w:space="0" w:color="auto"/>
      </w:divBdr>
    </w:div>
    <w:div w:id="525605596">
      <w:bodyDiv w:val="1"/>
      <w:marLeft w:val="0"/>
      <w:marRight w:val="0"/>
      <w:marTop w:val="0"/>
      <w:marBottom w:val="0"/>
      <w:divBdr>
        <w:top w:val="none" w:sz="0" w:space="0" w:color="auto"/>
        <w:left w:val="none" w:sz="0" w:space="0" w:color="auto"/>
        <w:bottom w:val="none" w:sz="0" w:space="0" w:color="auto"/>
        <w:right w:val="none" w:sz="0" w:space="0" w:color="auto"/>
      </w:divBdr>
    </w:div>
    <w:div w:id="645205732">
      <w:bodyDiv w:val="1"/>
      <w:marLeft w:val="0"/>
      <w:marRight w:val="0"/>
      <w:marTop w:val="0"/>
      <w:marBottom w:val="0"/>
      <w:divBdr>
        <w:top w:val="none" w:sz="0" w:space="0" w:color="auto"/>
        <w:left w:val="none" w:sz="0" w:space="0" w:color="auto"/>
        <w:bottom w:val="none" w:sz="0" w:space="0" w:color="auto"/>
        <w:right w:val="none" w:sz="0" w:space="0" w:color="auto"/>
      </w:divBdr>
    </w:div>
    <w:div w:id="1167013195">
      <w:bodyDiv w:val="1"/>
      <w:marLeft w:val="0"/>
      <w:marRight w:val="0"/>
      <w:marTop w:val="0"/>
      <w:marBottom w:val="0"/>
      <w:divBdr>
        <w:top w:val="none" w:sz="0" w:space="0" w:color="auto"/>
        <w:left w:val="none" w:sz="0" w:space="0" w:color="auto"/>
        <w:bottom w:val="none" w:sz="0" w:space="0" w:color="auto"/>
        <w:right w:val="none" w:sz="0" w:space="0" w:color="auto"/>
      </w:divBdr>
    </w:div>
    <w:div w:id="1273246867">
      <w:bodyDiv w:val="1"/>
      <w:marLeft w:val="0"/>
      <w:marRight w:val="0"/>
      <w:marTop w:val="0"/>
      <w:marBottom w:val="0"/>
      <w:divBdr>
        <w:top w:val="none" w:sz="0" w:space="0" w:color="auto"/>
        <w:left w:val="none" w:sz="0" w:space="0" w:color="auto"/>
        <w:bottom w:val="none" w:sz="0" w:space="0" w:color="auto"/>
        <w:right w:val="none" w:sz="0" w:space="0" w:color="auto"/>
      </w:divBdr>
    </w:div>
    <w:div w:id="1300916812">
      <w:bodyDiv w:val="1"/>
      <w:marLeft w:val="0"/>
      <w:marRight w:val="0"/>
      <w:marTop w:val="0"/>
      <w:marBottom w:val="0"/>
      <w:divBdr>
        <w:top w:val="none" w:sz="0" w:space="0" w:color="auto"/>
        <w:left w:val="none" w:sz="0" w:space="0" w:color="auto"/>
        <w:bottom w:val="none" w:sz="0" w:space="0" w:color="auto"/>
        <w:right w:val="none" w:sz="0" w:space="0" w:color="auto"/>
      </w:divBdr>
    </w:div>
    <w:div w:id="1380780579">
      <w:bodyDiv w:val="1"/>
      <w:marLeft w:val="0"/>
      <w:marRight w:val="0"/>
      <w:marTop w:val="0"/>
      <w:marBottom w:val="0"/>
      <w:divBdr>
        <w:top w:val="none" w:sz="0" w:space="0" w:color="auto"/>
        <w:left w:val="none" w:sz="0" w:space="0" w:color="auto"/>
        <w:bottom w:val="none" w:sz="0" w:space="0" w:color="auto"/>
        <w:right w:val="none" w:sz="0" w:space="0" w:color="auto"/>
      </w:divBdr>
    </w:div>
    <w:div w:id="1415394995">
      <w:bodyDiv w:val="1"/>
      <w:marLeft w:val="0"/>
      <w:marRight w:val="0"/>
      <w:marTop w:val="0"/>
      <w:marBottom w:val="0"/>
      <w:divBdr>
        <w:top w:val="none" w:sz="0" w:space="0" w:color="auto"/>
        <w:left w:val="none" w:sz="0" w:space="0" w:color="auto"/>
        <w:bottom w:val="none" w:sz="0" w:space="0" w:color="auto"/>
        <w:right w:val="none" w:sz="0" w:space="0" w:color="auto"/>
      </w:divBdr>
    </w:div>
    <w:div w:id="1843547774">
      <w:bodyDiv w:val="1"/>
      <w:marLeft w:val="0"/>
      <w:marRight w:val="0"/>
      <w:marTop w:val="0"/>
      <w:marBottom w:val="0"/>
      <w:divBdr>
        <w:top w:val="none" w:sz="0" w:space="0" w:color="auto"/>
        <w:left w:val="none" w:sz="0" w:space="0" w:color="auto"/>
        <w:bottom w:val="none" w:sz="0" w:space="0" w:color="auto"/>
        <w:right w:val="none" w:sz="0" w:space="0" w:color="auto"/>
      </w:divBdr>
    </w:div>
    <w:div w:id="1872523764">
      <w:bodyDiv w:val="1"/>
      <w:marLeft w:val="0"/>
      <w:marRight w:val="0"/>
      <w:marTop w:val="0"/>
      <w:marBottom w:val="0"/>
      <w:divBdr>
        <w:top w:val="none" w:sz="0" w:space="0" w:color="auto"/>
        <w:left w:val="none" w:sz="0" w:space="0" w:color="auto"/>
        <w:bottom w:val="none" w:sz="0" w:space="0" w:color="auto"/>
        <w:right w:val="none" w:sz="0" w:space="0" w:color="auto"/>
      </w:divBdr>
    </w:div>
    <w:div w:id="2107921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emf"/><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image" Target="media/image34.emf"/><Relationship Id="rId47" Type="http://schemas.openxmlformats.org/officeDocument/2006/relationships/header" Target="header2.xm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png"/><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image" Target="media/image37.emf"/><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8.emf"/><Relationship Id="rId49"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emf"/><Relationship Id="rId44" Type="http://schemas.openxmlformats.org/officeDocument/2006/relationships/image" Target="media/image36.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emf"/><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F75089-BADA-47AC-AEEF-9F6694CB2D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72</Pages>
  <Words>21422</Words>
  <Characters>115683</Characters>
  <Application>Microsoft Office Word</Application>
  <DocSecurity>0</DocSecurity>
  <Lines>964</Lines>
  <Paragraphs>273</Paragraphs>
  <ScaleCrop>false</ScaleCrop>
  <HeadingPairs>
    <vt:vector size="2" baseType="variant">
      <vt:variant>
        <vt:lpstr>Título</vt:lpstr>
      </vt:variant>
      <vt:variant>
        <vt:i4>1</vt:i4>
      </vt:variant>
    </vt:vector>
  </HeadingPairs>
  <TitlesOfParts>
    <vt:vector size="1" baseType="lpstr">
      <vt:lpstr/>
    </vt:vector>
  </TitlesOfParts>
  <Company>GVT</Company>
  <LinksUpToDate>false</LinksUpToDate>
  <CharactersWithSpaces>136832</CharactersWithSpaces>
  <SharedDoc>false</SharedDoc>
  <HLinks>
    <vt:vector size="2532" baseType="variant">
      <vt:variant>
        <vt:i4>6684718</vt:i4>
      </vt:variant>
      <vt:variant>
        <vt:i4>3232</vt:i4>
      </vt:variant>
      <vt:variant>
        <vt:i4>0</vt:i4>
      </vt:variant>
      <vt:variant>
        <vt:i4>5</vt:i4>
      </vt:variant>
      <vt:variant>
        <vt:lpwstr>http://www.cultura.pr.gov.br/modules/extcal/print.php?event=321</vt:lpwstr>
      </vt:variant>
      <vt:variant>
        <vt:lpwstr/>
      </vt:variant>
      <vt:variant>
        <vt:i4>327746</vt:i4>
      </vt:variant>
      <vt:variant>
        <vt:i4>3229</vt:i4>
      </vt:variant>
      <vt:variant>
        <vt:i4>0</vt:i4>
      </vt:variant>
      <vt:variant>
        <vt:i4>5</vt:i4>
      </vt:variant>
      <vt:variant>
        <vt:lpwstr>http://www.saude.pr.gov.br/modules/noticias/article.php?storyid=4088&amp;tit=Investimentos-do-Estado-ampliam-atendimento-de-saude-em-Guaraquecaba</vt:lpwstr>
      </vt:variant>
      <vt:variant>
        <vt:lpwstr/>
      </vt:variant>
      <vt:variant>
        <vt:i4>327746</vt:i4>
      </vt:variant>
      <vt:variant>
        <vt:i4>3226</vt:i4>
      </vt:variant>
      <vt:variant>
        <vt:i4>0</vt:i4>
      </vt:variant>
      <vt:variant>
        <vt:i4>5</vt:i4>
      </vt:variant>
      <vt:variant>
        <vt:lpwstr>http://www.saude.pr.gov.br/modules/noticias/article.php?storyid=4088&amp;tit=Investimentos-do-Estado-ampliam-atendimento-de-saude-em-Guaraquecaba</vt:lpwstr>
      </vt:variant>
      <vt:variant>
        <vt:lpwstr/>
      </vt:variant>
      <vt:variant>
        <vt:i4>327746</vt:i4>
      </vt:variant>
      <vt:variant>
        <vt:i4>3223</vt:i4>
      </vt:variant>
      <vt:variant>
        <vt:i4>0</vt:i4>
      </vt:variant>
      <vt:variant>
        <vt:i4>5</vt:i4>
      </vt:variant>
      <vt:variant>
        <vt:lpwstr>http://www.saude.pr.gov.br/modules/noticias/article.php?storyid=4088&amp;tit=Investimentos-do-Estado-ampliam-atendimento-de-saude-em-Guaraquecaba</vt:lpwstr>
      </vt:variant>
      <vt:variant>
        <vt:lpwstr/>
      </vt:variant>
      <vt:variant>
        <vt:i4>327746</vt:i4>
      </vt:variant>
      <vt:variant>
        <vt:i4>3220</vt:i4>
      </vt:variant>
      <vt:variant>
        <vt:i4>0</vt:i4>
      </vt:variant>
      <vt:variant>
        <vt:i4>5</vt:i4>
      </vt:variant>
      <vt:variant>
        <vt:lpwstr>http://www.saude.pr.gov.br/modules/noticias/article.php?storyid=4088&amp;tit=Investimentos-do-Estado-ampliam-atendimento-de-saude-em-Guaraquecaba</vt:lpwstr>
      </vt:variant>
      <vt:variant>
        <vt:lpwstr/>
      </vt:variant>
      <vt:variant>
        <vt:i4>8192122</vt:i4>
      </vt:variant>
      <vt:variant>
        <vt:i4>3217</vt:i4>
      </vt:variant>
      <vt:variant>
        <vt:i4>0</vt:i4>
      </vt:variant>
      <vt:variant>
        <vt:i4>5</vt:i4>
      </vt:variant>
      <vt:variant>
        <vt:lpwstr>http://emec.mec.gov.br/</vt:lpwstr>
      </vt:variant>
      <vt:variant>
        <vt:lpwstr/>
      </vt:variant>
      <vt:variant>
        <vt:i4>8192122</vt:i4>
      </vt:variant>
      <vt:variant>
        <vt:i4>3214</vt:i4>
      </vt:variant>
      <vt:variant>
        <vt:i4>0</vt:i4>
      </vt:variant>
      <vt:variant>
        <vt:i4>5</vt:i4>
      </vt:variant>
      <vt:variant>
        <vt:lpwstr>http://emec.mec.gov.br/</vt:lpwstr>
      </vt:variant>
      <vt:variant>
        <vt:lpwstr/>
      </vt:variant>
      <vt:variant>
        <vt:i4>2555941</vt:i4>
      </vt:variant>
      <vt:variant>
        <vt:i4>3211</vt:i4>
      </vt:variant>
      <vt:variant>
        <vt:i4>0</vt:i4>
      </vt:variant>
      <vt:variant>
        <vt:i4>5</vt:i4>
      </vt:variant>
      <vt:variant>
        <vt:lpwstr>http://portal.iphan.gov.br/pagina/detalhes/276</vt:lpwstr>
      </vt:variant>
      <vt:variant>
        <vt:lpwstr/>
      </vt:variant>
      <vt:variant>
        <vt:i4>6815862</vt:i4>
      </vt:variant>
      <vt:variant>
        <vt:i4>3208</vt:i4>
      </vt:variant>
      <vt:variant>
        <vt:i4>0</vt:i4>
      </vt:variant>
      <vt:variant>
        <vt:i4>5</vt:i4>
      </vt:variant>
      <vt:variant>
        <vt:lpwstr>http://www.ipardes.gov.br/index.php?pg_conteudo=1&amp;cod_conteudo=30</vt:lpwstr>
      </vt:variant>
      <vt:variant>
        <vt:lpwstr/>
      </vt:variant>
      <vt:variant>
        <vt:i4>3473464</vt:i4>
      </vt:variant>
      <vt:variant>
        <vt:i4>3205</vt:i4>
      </vt:variant>
      <vt:variant>
        <vt:i4>0</vt:i4>
      </vt:variant>
      <vt:variant>
        <vt:i4>5</vt:i4>
      </vt:variant>
      <vt:variant>
        <vt:lpwstr>http://www.ipardes.pr.gov.br/imp/index.php</vt:lpwstr>
      </vt:variant>
      <vt:variant>
        <vt:lpwstr/>
      </vt:variant>
      <vt:variant>
        <vt:i4>3473464</vt:i4>
      </vt:variant>
      <vt:variant>
        <vt:i4>3202</vt:i4>
      </vt:variant>
      <vt:variant>
        <vt:i4>0</vt:i4>
      </vt:variant>
      <vt:variant>
        <vt:i4>5</vt:i4>
      </vt:variant>
      <vt:variant>
        <vt:lpwstr>http://www.ipardes.pr.gov.br/imp/index.php</vt:lpwstr>
      </vt:variant>
      <vt:variant>
        <vt:lpwstr/>
      </vt:variant>
      <vt:variant>
        <vt:i4>2228340</vt:i4>
      </vt:variant>
      <vt:variant>
        <vt:i4>3199</vt:i4>
      </vt:variant>
      <vt:variant>
        <vt:i4>0</vt:i4>
      </vt:variant>
      <vt:variant>
        <vt:i4>5</vt:i4>
      </vt:variant>
      <vt:variant>
        <vt:lpwstr>F:\GEOGRAFIA\6º ano\Prática em Planejamento\Escrevendo\&lt;http:\www.ipardes.gov.br</vt:lpwstr>
      </vt:variant>
      <vt:variant>
        <vt:lpwstr/>
      </vt:variant>
      <vt:variant>
        <vt:i4>2228340</vt:i4>
      </vt:variant>
      <vt:variant>
        <vt:i4>3196</vt:i4>
      </vt:variant>
      <vt:variant>
        <vt:i4>0</vt:i4>
      </vt:variant>
      <vt:variant>
        <vt:i4>5</vt:i4>
      </vt:variant>
      <vt:variant>
        <vt:lpwstr>F:\GEOGRAFIA\6º ano\Prática em Planejamento\Escrevendo\&lt;http:\www.ipardes.gov.br</vt:lpwstr>
      </vt:variant>
      <vt:variant>
        <vt:lpwstr/>
      </vt:variant>
      <vt:variant>
        <vt:i4>2228340</vt:i4>
      </vt:variant>
      <vt:variant>
        <vt:i4>3193</vt:i4>
      </vt:variant>
      <vt:variant>
        <vt:i4>0</vt:i4>
      </vt:variant>
      <vt:variant>
        <vt:i4>5</vt:i4>
      </vt:variant>
      <vt:variant>
        <vt:lpwstr>F:\GEOGRAFIA\6º ano\Prática em Planejamento\Escrevendo\&lt;http:\www.ipardes.gov.br</vt:lpwstr>
      </vt:variant>
      <vt:variant>
        <vt:lpwstr/>
      </vt:variant>
      <vt:variant>
        <vt:i4>4653121</vt:i4>
      </vt:variant>
      <vt:variant>
        <vt:i4>3190</vt:i4>
      </vt:variant>
      <vt:variant>
        <vt:i4>0</vt:i4>
      </vt:variant>
      <vt:variant>
        <vt:i4>5</vt:i4>
      </vt:variant>
      <vt:variant>
        <vt:lpwstr>http://www.dataescolabrasil.inep.gov.br/dataEscolaBrasil</vt:lpwstr>
      </vt:variant>
      <vt:variant>
        <vt:lpwstr/>
      </vt:variant>
      <vt:variant>
        <vt:i4>4653121</vt:i4>
      </vt:variant>
      <vt:variant>
        <vt:i4>3187</vt:i4>
      </vt:variant>
      <vt:variant>
        <vt:i4>0</vt:i4>
      </vt:variant>
      <vt:variant>
        <vt:i4>5</vt:i4>
      </vt:variant>
      <vt:variant>
        <vt:lpwstr>http://www.dataescolabrasil.inep.gov.br/dataEscolaBrasil</vt:lpwstr>
      </vt:variant>
      <vt:variant>
        <vt:lpwstr/>
      </vt:variant>
      <vt:variant>
        <vt:i4>7012384</vt:i4>
      </vt:variant>
      <vt:variant>
        <vt:i4>3184</vt:i4>
      </vt:variant>
      <vt:variant>
        <vt:i4>0</vt:i4>
      </vt:variant>
      <vt:variant>
        <vt:i4>5</vt:i4>
      </vt:variant>
      <vt:variant>
        <vt:lpwstr>http://www.iap.pr.gov.br/modules/conteudo/conteudo.php?conteudo=418</vt:lpwstr>
      </vt:variant>
      <vt:variant>
        <vt:lpwstr/>
      </vt:variant>
      <vt:variant>
        <vt:i4>327756</vt:i4>
      </vt:variant>
      <vt:variant>
        <vt:i4>3181</vt:i4>
      </vt:variant>
      <vt:variant>
        <vt:i4>0</vt:i4>
      </vt:variant>
      <vt:variant>
        <vt:i4>5</vt:i4>
      </vt:variant>
      <vt:variant>
        <vt:lpwstr>http://www.icmsecologico.org.br/site/</vt:lpwstr>
      </vt:variant>
      <vt:variant>
        <vt:lpwstr/>
      </vt:variant>
      <vt:variant>
        <vt:i4>6553727</vt:i4>
      </vt:variant>
      <vt:variant>
        <vt:i4>3178</vt:i4>
      </vt:variant>
      <vt:variant>
        <vt:i4>0</vt:i4>
      </vt:variant>
      <vt:variant>
        <vt:i4>5</vt:i4>
      </vt:variant>
      <vt:variant>
        <vt:lpwstr>http://www.ibge.gov.br/home/estatistica/populacao/</vt:lpwstr>
      </vt:variant>
      <vt:variant>
        <vt:lpwstr/>
      </vt:variant>
      <vt:variant>
        <vt:i4>1114200</vt:i4>
      </vt:variant>
      <vt:variant>
        <vt:i4>3175</vt:i4>
      </vt:variant>
      <vt:variant>
        <vt:i4>0</vt:i4>
      </vt:variant>
      <vt:variant>
        <vt:i4>5</vt:i4>
      </vt:variant>
      <vt:variant>
        <vt:lpwstr>http://www2.ufersa.edu.br/portal/view/uploads/setores/190/UC.pdf</vt:lpwstr>
      </vt:variant>
      <vt:variant>
        <vt:lpwstr/>
      </vt:variant>
      <vt:variant>
        <vt:i4>7602212</vt:i4>
      </vt:variant>
      <vt:variant>
        <vt:i4>3172</vt:i4>
      </vt:variant>
      <vt:variant>
        <vt:i4>0</vt:i4>
      </vt:variant>
      <vt:variant>
        <vt:i4>5</vt:i4>
      </vt:variant>
      <vt:variant>
        <vt:lpwstr>https://www.google.com.br/maps</vt:lpwstr>
      </vt:variant>
      <vt:variant>
        <vt:lpwstr/>
      </vt:variant>
      <vt:variant>
        <vt:i4>5505112</vt:i4>
      </vt:variant>
      <vt:variant>
        <vt:i4>3169</vt:i4>
      </vt:variant>
      <vt:variant>
        <vt:i4>0</vt:i4>
      </vt:variant>
      <vt:variant>
        <vt:i4>5</vt:i4>
      </vt:variant>
      <vt:variant>
        <vt:lpwstr>http://www.redemosaicos.com.br/arquivos_dados/arq_downloads/mmidia-id-76.pdf</vt:lpwstr>
      </vt:variant>
      <vt:variant>
        <vt:lpwstr/>
      </vt:variant>
      <vt:variant>
        <vt:i4>6881403</vt:i4>
      </vt:variant>
      <vt:variant>
        <vt:i4>3166</vt:i4>
      </vt:variant>
      <vt:variant>
        <vt:i4>0</vt:i4>
      </vt:variant>
      <vt:variant>
        <vt:i4>5</vt:i4>
      </vt:variant>
      <vt:variant>
        <vt:lpwstr>http://www.oeco.org.br/dicionario-ambiental/28048-o-que-e-o-icms-ecologico/</vt:lpwstr>
      </vt:variant>
      <vt:variant>
        <vt:lpwstr/>
      </vt:variant>
      <vt:variant>
        <vt:i4>983054</vt:i4>
      </vt:variant>
      <vt:variant>
        <vt:i4>3163</vt:i4>
      </vt:variant>
      <vt:variant>
        <vt:i4>0</vt:i4>
      </vt:variant>
      <vt:variant>
        <vt:i4>5</vt:i4>
      </vt:variant>
      <vt:variant>
        <vt:lpwstr>http://www.aneel.gov.br/aplicacoes/audiencia/arquivo/2012/017/contribuicao/copel_ap017_2012ic.pdf</vt:lpwstr>
      </vt:variant>
      <vt:variant>
        <vt:lpwstr/>
      </vt:variant>
      <vt:variant>
        <vt:i4>983054</vt:i4>
      </vt:variant>
      <vt:variant>
        <vt:i4>3160</vt:i4>
      </vt:variant>
      <vt:variant>
        <vt:i4>0</vt:i4>
      </vt:variant>
      <vt:variant>
        <vt:i4>5</vt:i4>
      </vt:variant>
      <vt:variant>
        <vt:lpwstr>http://www.aneel.gov.br/aplicacoes/audiencia/arquivo/2012/017/contribuicao/copel_ap017_2012ic.pdf</vt:lpwstr>
      </vt:variant>
      <vt:variant>
        <vt:lpwstr/>
      </vt:variant>
      <vt:variant>
        <vt:i4>5308431</vt:i4>
      </vt:variant>
      <vt:variant>
        <vt:i4>3157</vt:i4>
      </vt:variant>
      <vt:variant>
        <vt:i4>0</vt:i4>
      </vt:variant>
      <vt:variant>
        <vt:i4>5</vt:i4>
      </vt:variant>
      <vt:variant>
        <vt:lpwstr>http://dados.gov.br/dataset/unidades-basicas-de-saude-ubs</vt:lpwstr>
      </vt:variant>
      <vt:variant>
        <vt:lpwstr/>
      </vt:variant>
      <vt:variant>
        <vt:i4>5308431</vt:i4>
      </vt:variant>
      <vt:variant>
        <vt:i4>3154</vt:i4>
      </vt:variant>
      <vt:variant>
        <vt:i4>0</vt:i4>
      </vt:variant>
      <vt:variant>
        <vt:i4>5</vt:i4>
      </vt:variant>
      <vt:variant>
        <vt:lpwstr>http://dados.gov.br/dataset/unidades-basicas-de-saude-ubs</vt:lpwstr>
      </vt:variant>
      <vt:variant>
        <vt:lpwstr/>
      </vt:variant>
      <vt:variant>
        <vt:i4>6815849</vt:i4>
      </vt:variant>
      <vt:variant>
        <vt:i4>3151</vt:i4>
      </vt:variant>
      <vt:variant>
        <vt:i4>0</vt:i4>
      </vt:variant>
      <vt:variant>
        <vt:i4>5</vt:i4>
      </vt:variant>
      <vt:variant>
        <vt:lpwstr>http://www.brasil.gov.br/meio-ambiente/2014/07/reserva-de-mata-atlantica-e-sitio-do-patrimonio-natural-mundial</vt:lpwstr>
      </vt:variant>
      <vt:variant>
        <vt:lpwstr/>
      </vt:variant>
      <vt:variant>
        <vt:i4>6815849</vt:i4>
      </vt:variant>
      <vt:variant>
        <vt:i4>3148</vt:i4>
      </vt:variant>
      <vt:variant>
        <vt:i4>0</vt:i4>
      </vt:variant>
      <vt:variant>
        <vt:i4>5</vt:i4>
      </vt:variant>
      <vt:variant>
        <vt:lpwstr>http://www.brasil.gov.br/meio-ambiente/2014/07/reserva-de-mata-atlantica-e-sitio-do-patrimonio-natural-mundial</vt:lpwstr>
      </vt:variant>
      <vt:variant>
        <vt:lpwstr/>
      </vt:variant>
      <vt:variant>
        <vt:i4>6553701</vt:i4>
      </vt:variant>
      <vt:variant>
        <vt:i4>3145</vt:i4>
      </vt:variant>
      <vt:variant>
        <vt:i4>0</vt:i4>
      </vt:variant>
      <vt:variant>
        <vt:i4>5</vt:i4>
      </vt:variant>
      <vt:variant>
        <vt:lpwstr>D:\Users\Daniela\Downloads\T -20ELIANE BEE BOLDRINI.pdf</vt:lpwstr>
      </vt:variant>
      <vt:variant>
        <vt:lpwstr/>
      </vt:variant>
      <vt:variant>
        <vt:i4>4522101</vt:i4>
      </vt:variant>
      <vt:variant>
        <vt:i4>3073</vt:i4>
      </vt:variant>
      <vt:variant>
        <vt:i4>0</vt:i4>
      </vt:variant>
      <vt:variant>
        <vt:i4>5</vt:i4>
      </vt:variant>
      <vt:variant>
        <vt:lpwstr>mailto:cultura@guaraquecaba.pr.gov.br</vt:lpwstr>
      </vt:variant>
      <vt:variant>
        <vt:lpwstr/>
      </vt:variant>
      <vt:variant>
        <vt:i4>4456567</vt:i4>
      </vt:variant>
      <vt:variant>
        <vt:i4>3070</vt:i4>
      </vt:variant>
      <vt:variant>
        <vt:i4>0</vt:i4>
      </vt:variant>
      <vt:variant>
        <vt:i4>5</vt:i4>
      </vt:variant>
      <vt:variant>
        <vt:lpwstr>mailto:turismo@guaraquecaba.pr.gov.br</vt:lpwstr>
      </vt:variant>
      <vt:variant>
        <vt:lpwstr/>
      </vt:variant>
      <vt:variant>
        <vt:i4>5439614</vt:i4>
      </vt:variant>
      <vt:variant>
        <vt:i4>3067</vt:i4>
      </vt:variant>
      <vt:variant>
        <vt:i4>0</vt:i4>
      </vt:variant>
      <vt:variant>
        <vt:i4>5</vt:i4>
      </vt:variant>
      <vt:variant>
        <vt:lpwstr>mailto:cezarbroska@antonina.pr.gov.br</vt:lpwstr>
      </vt:variant>
      <vt:variant>
        <vt:lpwstr/>
      </vt:variant>
      <vt:variant>
        <vt:i4>4391023</vt:i4>
      </vt:variant>
      <vt:variant>
        <vt:i4>3064</vt:i4>
      </vt:variant>
      <vt:variant>
        <vt:i4>0</vt:i4>
      </vt:variant>
      <vt:variant>
        <vt:i4>5</vt:i4>
      </vt:variant>
      <vt:variant>
        <vt:lpwstr>mailto:cultura@antonina.pr.gov.br</vt:lpwstr>
      </vt:variant>
      <vt:variant>
        <vt:lpwstr/>
      </vt:variant>
      <vt:variant>
        <vt:i4>4325485</vt:i4>
      </vt:variant>
      <vt:variant>
        <vt:i4>3061</vt:i4>
      </vt:variant>
      <vt:variant>
        <vt:i4>0</vt:i4>
      </vt:variant>
      <vt:variant>
        <vt:i4>5</vt:i4>
      </vt:variant>
      <vt:variant>
        <vt:lpwstr>mailto:turismo@antonina.pr.gov.br</vt:lpwstr>
      </vt:variant>
      <vt:variant>
        <vt:lpwstr/>
      </vt:variant>
      <vt:variant>
        <vt:i4>4325491</vt:i4>
      </vt:variant>
      <vt:variant>
        <vt:i4>3058</vt:i4>
      </vt:variant>
      <vt:variant>
        <vt:i4>0</vt:i4>
      </vt:variant>
      <vt:variant>
        <vt:i4>5</vt:i4>
      </vt:variant>
      <vt:variant>
        <vt:lpwstr>mailto:museupr@seec.pr.gov.br</vt:lpwstr>
      </vt:variant>
      <vt:variant>
        <vt:lpwstr/>
      </vt:variant>
      <vt:variant>
        <vt:i4>4325433</vt:i4>
      </vt:variant>
      <vt:variant>
        <vt:i4>3055</vt:i4>
      </vt:variant>
      <vt:variant>
        <vt:i4>0</vt:i4>
      </vt:variant>
      <vt:variant>
        <vt:i4>5</vt:i4>
      </vt:variant>
      <vt:variant>
        <vt:lpwstr>mailto:diretoria.mae@ufpr.br</vt:lpwstr>
      </vt:variant>
      <vt:variant>
        <vt:lpwstr/>
      </vt:variant>
      <vt:variant>
        <vt:i4>3211288</vt:i4>
      </vt:variant>
      <vt:variant>
        <vt:i4>3052</vt:i4>
      </vt:variant>
      <vt:variant>
        <vt:i4>0</vt:i4>
      </vt:variant>
      <vt:variant>
        <vt:i4>5</vt:i4>
      </vt:variant>
      <vt:variant>
        <vt:lpwstr>mailto:iphan-pr@iphan.gov.br</vt:lpwstr>
      </vt:variant>
      <vt:variant>
        <vt:lpwstr/>
      </vt:variant>
      <vt:variant>
        <vt:i4>917613</vt:i4>
      </vt:variant>
      <vt:variant>
        <vt:i4>3049</vt:i4>
      </vt:variant>
      <vt:variant>
        <vt:i4>0</vt:i4>
      </vt:variant>
      <vt:variant>
        <vt:i4>5</vt:i4>
      </vt:variant>
      <vt:variant>
        <vt:lpwstr>mailto:regionalsul@cultura.gov.br</vt:lpwstr>
      </vt:variant>
      <vt:variant>
        <vt:lpwstr/>
      </vt:variant>
      <vt:variant>
        <vt:i4>3539022</vt:i4>
      </vt:variant>
      <vt:variant>
        <vt:i4>3046</vt:i4>
      </vt:variant>
      <vt:variant>
        <vt:i4>0</vt:i4>
      </vt:variant>
      <vt:variant>
        <vt:i4>5</vt:i4>
      </vt:variant>
      <vt:variant>
        <vt:lpwstr>mailto:comunicacaosul@cultura.gov.br</vt:lpwstr>
      </vt:variant>
      <vt:variant>
        <vt:lpwstr/>
      </vt:variant>
      <vt:variant>
        <vt:i4>3604547</vt:i4>
      </vt:variant>
      <vt:variant>
        <vt:i4>3043</vt:i4>
      </vt:variant>
      <vt:variant>
        <vt:i4>0</vt:i4>
      </vt:variant>
      <vt:variant>
        <vt:i4>5</vt:i4>
      </vt:variant>
      <vt:variant>
        <vt:lpwstr>mailto:pontosdeculturasul@cultura.gov.br</vt:lpwstr>
      </vt:variant>
      <vt:variant>
        <vt:lpwstr/>
      </vt:variant>
      <vt:variant>
        <vt:i4>5505057</vt:i4>
      </vt:variant>
      <vt:variant>
        <vt:i4>2842</vt:i4>
      </vt:variant>
      <vt:variant>
        <vt:i4>0</vt:i4>
      </vt:variant>
      <vt:variant>
        <vt:i4>5</vt:i4>
      </vt:variant>
      <vt:variant>
        <vt:lpwstr>http://cnes.datasus.gov.br/Exibe_Ficha_Estabelecimento.asp?VCo_Unidade=4109506732100&amp;VEstado=41&amp;VCodMunicipio=410950</vt:lpwstr>
      </vt:variant>
      <vt:variant>
        <vt:lpwstr/>
      </vt:variant>
      <vt:variant>
        <vt:i4>6946934</vt:i4>
      </vt:variant>
      <vt:variant>
        <vt:i4>2700</vt:i4>
      </vt:variant>
      <vt:variant>
        <vt:i4>0</vt:i4>
      </vt:variant>
      <vt:variant>
        <vt:i4>5</vt:i4>
      </vt:variant>
      <vt:variant>
        <vt:lpwstr>http://www.panoramio.com/map/</vt:lpwstr>
      </vt:variant>
      <vt:variant>
        <vt:lpwstr>lt=-25.163638&amp;ln=-48.297994&amp;z=4&amp;k=2</vt:lpwstr>
      </vt:variant>
      <vt:variant>
        <vt:i4>6750240</vt:i4>
      </vt:variant>
      <vt:variant>
        <vt:i4>2280</vt:i4>
      </vt:variant>
      <vt:variant>
        <vt:i4>0</vt:i4>
      </vt:variant>
      <vt:variant>
        <vt:i4>5</vt:i4>
      </vt:variant>
      <vt:variant>
        <vt:lpwstr>http://www.ipcc.ch/</vt:lpwstr>
      </vt:variant>
      <vt:variant>
        <vt:lpwstr/>
      </vt:variant>
      <vt:variant>
        <vt:i4>1703990</vt:i4>
      </vt:variant>
      <vt:variant>
        <vt:i4>2237</vt:i4>
      </vt:variant>
      <vt:variant>
        <vt:i4>0</vt:i4>
      </vt:variant>
      <vt:variant>
        <vt:i4>5</vt:i4>
      </vt:variant>
      <vt:variant>
        <vt:lpwstr/>
      </vt:variant>
      <vt:variant>
        <vt:lpwstr>_Toc437961369</vt:lpwstr>
      </vt:variant>
      <vt:variant>
        <vt:i4>1703990</vt:i4>
      </vt:variant>
      <vt:variant>
        <vt:i4>2231</vt:i4>
      </vt:variant>
      <vt:variant>
        <vt:i4>0</vt:i4>
      </vt:variant>
      <vt:variant>
        <vt:i4>5</vt:i4>
      </vt:variant>
      <vt:variant>
        <vt:lpwstr/>
      </vt:variant>
      <vt:variant>
        <vt:lpwstr>_Toc437961368</vt:lpwstr>
      </vt:variant>
      <vt:variant>
        <vt:i4>1703990</vt:i4>
      </vt:variant>
      <vt:variant>
        <vt:i4>2225</vt:i4>
      </vt:variant>
      <vt:variant>
        <vt:i4>0</vt:i4>
      </vt:variant>
      <vt:variant>
        <vt:i4>5</vt:i4>
      </vt:variant>
      <vt:variant>
        <vt:lpwstr/>
      </vt:variant>
      <vt:variant>
        <vt:lpwstr>_Toc437961367</vt:lpwstr>
      </vt:variant>
      <vt:variant>
        <vt:i4>1703990</vt:i4>
      </vt:variant>
      <vt:variant>
        <vt:i4>2219</vt:i4>
      </vt:variant>
      <vt:variant>
        <vt:i4>0</vt:i4>
      </vt:variant>
      <vt:variant>
        <vt:i4>5</vt:i4>
      </vt:variant>
      <vt:variant>
        <vt:lpwstr/>
      </vt:variant>
      <vt:variant>
        <vt:lpwstr>_Toc437961366</vt:lpwstr>
      </vt:variant>
      <vt:variant>
        <vt:i4>1703990</vt:i4>
      </vt:variant>
      <vt:variant>
        <vt:i4>2213</vt:i4>
      </vt:variant>
      <vt:variant>
        <vt:i4>0</vt:i4>
      </vt:variant>
      <vt:variant>
        <vt:i4>5</vt:i4>
      </vt:variant>
      <vt:variant>
        <vt:lpwstr/>
      </vt:variant>
      <vt:variant>
        <vt:lpwstr>_Toc437961365</vt:lpwstr>
      </vt:variant>
      <vt:variant>
        <vt:i4>1703990</vt:i4>
      </vt:variant>
      <vt:variant>
        <vt:i4>2207</vt:i4>
      </vt:variant>
      <vt:variant>
        <vt:i4>0</vt:i4>
      </vt:variant>
      <vt:variant>
        <vt:i4>5</vt:i4>
      </vt:variant>
      <vt:variant>
        <vt:lpwstr/>
      </vt:variant>
      <vt:variant>
        <vt:lpwstr>_Toc437961364</vt:lpwstr>
      </vt:variant>
      <vt:variant>
        <vt:i4>1703990</vt:i4>
      </vt:variant>
      <vt:variant>
        <vt:i4>2201</vt:i4>
      </vt:variant>
      <vt:variant>
        <vt:i4>0</vt:i4>
      </vt:variant>
      <vt:variant>
        <vt:i4>5</vt:i4>
      </vt:variant>
      <vt:variant>
        <vt:lpwstr/>
      </vt:variant>
      <vt:variant>
        <vt:lpwstr>_Toc437961363</vt:lpwstr>
      </vt:variant>
      <vt:variant>
        <vt:i4>1703990</vt:i4>
      </vt:variant>
      <vt:variant>
        <vt:i4>2195</vt:i4>
      </vt:variant>
      <vt:variant>
        <vt:i4>0</vt:i4>
      </vt:variant>
      <vt:variant>
        <vt:i4>5</vt:i4>
      </vt:variant>
      <vt:variant>
        <vt:lpwstr/>
      </vt:variant>
      <vt:variant>
        <vt:lpwstr>_Toc437961362</vt:lpwstr>
      </vt:variant>
      <vt:variant>
        <vt:i4>1703990</vt:i4>
      </vt:variant>
      <vt:variant>
        <vt:i4>2189</vt:i4>
      </vt:variant>
      <vt:variant>
        <vt:i4>0</vt:i4>
      </vt:variant>
      <vt:variant>
        <vt:i4>5</vt:i4>
      </vt:variant>
      <vt:variant>
        <vt:lpwstr/>
      </vt:variant>
      <vt:variant>
        <vt:lpwstr>_Toc437961361</vt:lpwstr>
      </vt:variant>
      <vt:variant>
        <vt:i4>1703990</vt:i4>
      </vt:variant>
      <vt:variant>
        <vt:i4>2183</vt:i4>
      </vt:variant>
      <vt:variant>
        <vt:i4>0</vt:i4>
      </vt:variant>
      <vt:variant>
        <vt:i4>5</vt:i4>
      </vt:variant>
      <vt:variant>
        <vt:lpwstr/>
      </vt:variant>
      <vt:variant>
        <vt:lpwstr>_Toc437961360</vt:lpwstr>
      </vt:variant>
      <vt:variant>
        <vt:i4>1638454</vt:i4>
      </vt:variant>
      <vt:variant>
        <vt:i4>2177</vt:i4>
      </vt:variant>
      <vt:variant>
        <vt:i4>0</vt:i4>
      </vt:variant>
      <vt:variant>
        <vt:i4>5</vt:i4>
      </vt:variant>
      <vt:variant>
        <vt:lpwstr/>
      </vt:variant>
      <vt:variant>
        <vt:lpwstr>_Toc437961359</vt:lpwstr>
      </vt:variant>
      <vt:variant>
        <vt:i4>1638454</vt:i4>
      </vt:variant>
      <vt:variant>
        <vt:i4>2171</vt:i4>
      </vt:variant>
      <vt:variant>
        <vt:i4>0</vt:i4>
      </vt:variant>
      <vt:variant>
        <vt:i4>5</vt:i4>
      </vt:variant>
      <vt:variant>
        <vt:lpwstr/>
      </vt:variant>
      <vt:variant>
        <vt:lpwstr>_Toc437961358</vt:lpwstr>
      </vt:variant>
      <vt:variant>
        <vt:i4>1638454</vt:i4>
      </vt:variant>
      <vt:variant>
        <vt:i4>2165</vt:i4>
      </vt:variant>
      <vt:variant>
        <vt:i4>0</vt:i4>
      </vt:variant>
      <vt:variant>
        <vt:i4>5</vt:i4>
      </vt:variant>
      <vt:variant>
        <vt:lpwstr/>
      </vt:variant>
      <vt:variant>
        <vt:lpwstr>_Toc437961357</vt:lpwstr>
      </vt:variant>
      <vt:variant>
        <vt:i4>1638454</vt:i4>
      </vt:variant>
      <vt:variant>
        <vt:i4>2159</vt:i4>
      </vt:variant>
      <vt:variant>
        <vt:i4>0</vt:i4>
      </vt:variant>
      <vt:variant>
        <vt:i4>5</vt:i4>
      </vt:variant>
      <vt:variant>
        <vt:lpwstr/>
      </vt:variant>
      <vt:variant>
        <vt:lpwstr>_Toc437961356</vt:lpwstr>
      </vt:variant>
      <vt:variant>
        <vt:i4>1638454</vt:i4>
      </vt:variant>
      <vt:variant>
        <vt:i4>2153</vt:i4>
      </vt:variant>
      <vt:variant>
        <vt:i4>0</vt:i4>
      </vt:variant>
      <vt:variant>
        <vt:i4>5</vt:i4>
      </vt:variant>
      <vt:variant>
        <vt:lpwstr/>
      </vt:variant>
      <vt:variant>
        <vt:lpwstr>_Toc437961355</vt:lpwstr>
      </vt:variant>
      <vt:variant>
        <vt:i4>1638454</vt:i4>
      </vt:variant>
      <vt:variant>
        <vt:i4>2147</vt:i4>
      </vt:variant>
      <vt:variant>
        <vt:i4>0</vt:i4>
      </vt:variant>
      <vt:variant>
        <vt:i4>5</vt:i4>
      </vt:variant>
      <vt:variant>
        <vt:lpwstr/>
      </vt:variant>
      <vt:variant>
        <vt:lpwstr>_Toc437961354</vt:lpwstr>
      </vt:variant>
      <vt:variant>
        <vt:i4>1638454</vt:i4>
      </vt:variant>
      <vt:variant>
        <vt:i4>2141</vt:i4>
      </vt:variant>
      <vt:variant>
        <vt:i4>0</vt:i4>
      </vt:variant>
      <vt:variant>
        <vt:i4>5</vt:i4>
      </vt:variant>
      <vt:variant>
        <vt:lpwstr/>
      </vt:variant>
      <vt:variant>
        <vt:lpwstr>_Toc437961353</vt:lpwstr>
      </vt:variant>
      <vt:variant>
        <vt:i4>1638454</vt:i4>
      </vt:variant>
      <vt:variant>
        <vt:i4>2135</vt:i4>
      </vt:variant>
      <vt:variant>
        <vt:i4>0</vt:i4>
      </vt:variant>
      <vt:variant>
        <vt:i4>5</vt:i4>
      </vt:variant>
      <vt:variant>
        <vt:lpwstr/>
      </vt:variant>
      <vt:variant>
        <vt:lpwstr>_Toc437961352</vt:lpwstr>
      </vt:variant>
      <vt:variant>
        <vt:i4>1638454</vt:i4>
      </vt:variant>
      <vt:variant>
        <vt:i4>2129</vt:i4>
      </vt:variant>
      <vt:variant>
        <vt:i4>0</vt:i4>
      </vt:variant>
      <vt:variant>
        <vt:i4>5</vt:i4>
      </vt:variant>
      <vt:variant>
        <vt:lpwstr/>
      </vt:variant>
      <vt:variant>
        <vt:lpwstr>_Toc437961351</vt:lpwstr>
      </vt:variant>
      <vt:variant>
        <vt:i4>1638454</vt:i4>
      </vt:variant>
      <vt:variant>
        <vt:i4>2123</vt:i4>
      </vt:variant>
      <vt:variant>
        <vt:i4>0</vt:i4>
      </vt:variant>
      <vt:variant>
        <vt:i4>5</vt:i4>
      </vt:variant>
      <vt:variant>
        <vt:lpwstr/>
      </vt:variant>
      <vt:variant>
        <vt:lpwstr>_Toc437961350</vt:lpwstr>
      </vt:variant>
      <vt:variant>
        <vt:i4>1572918</vt:i4>
      </vt:variant>
      <vt:variant>
        <vt:i4>2117</vt:i4>
      </vt:variant>
      <vt:variant>
        <vt:i4>0</vt:i4>
      </vt:variant>
      <vt:variant>
        <vt:i4>5</vt:i4>
      </vt:variant>
      <vt:variant>
        <vt:lpwstr/>
      </vt:variant>
      <vt:variant>
        <vt:lpwstr>_Toc437961349</vt:lpwstr>
      </vt:variant>
      <vt:variant>
        <vt:i4>1572918</vt:i4>
      </vt:variant>
      <vt:variant>
        <vt:i4>2111</vt:i4>
      </vt:variant>
      <vt:variant>
        <vt:i4>0</vt:i4>
      </vt:variant>
      <vt:variant>
        <vt:i4>5</vt:i4>
      </vt:variant>
      <vt:variant>
        <vt:lpwstr/>
      </vt:variant>
      <vt:variant>
        <vt:lpwstr>_Toc437961348</vt:lpwstr>
      </vt:variant>
      <vt:variant>
        <vt:i4>1572918</vt:i4>
      </vt:variant>
      <vt:variant>
        <vt:i4>2105</vt:i4>
      </vt:variant>
      <vt:variant>
        <vt:i4>0</vt:i4>
      </vt:variant>
      <vt:variant>
        <vt:i4>5</vt:i4>
      </vt:variant>
      <vt:variant>
        <vt:lpwstr/>
      </vt:variant>
      <vt:variant>
        <vt:lpwstr>_Toc437961347</vt:lpwstr>
      </vt:variant>
      <vt:variant>
        <vt:i4>1572918</vt:i4>
      </vt:variant>
      <vt:variant>
        <vt:i4>2099</vt:i4>
      </vt:variant>
      <vt:variant>
        <vt:i4>0</vt:i4>
      </vt:variant>
      <vt:variant>
        <vt:i4>5</vt:i4>
      </vt:variant>
      <vt:variant>
        <vt:lpwstr/>
      </vt:variant>
      <vt:variant>
        <vt:lpwstr>_Toc437961346</vt:lpwstr>
      </vt:variant>
      <vt:variant>
        <vt:i4>1572918</vt:i4>
      </vt:variant>
      <vt:variant>
        <vt:i4>2093</vt:i4>
      </vt:variant>
      <vt:variant>
        <vt:i4>0</vt:i4>
      </vt:variant>
      <vt:variant>
        <vt:i4>5</vt:i4>
      </vt:variant>
      <vt:variant>
        <vt:lpwstr/>
      </vt:variant>
      <vt:variant>
        <vt:lpwstr>_Toc437961345</vt:lpwstr>
      </vt:variant>
      <vt:variant>
        <vt:i4>1572918</vt:i4>
      </vt:variant>
      <vt:variant>
        <vt:i4>2087</vt:i4>
      </vt:variant>
      <vt:variant>
        <vt:i4>0</vt:i4>
      </vt:variant>
      <vt:variant>
        <vt:i4>5</vt:i4>
      </vt:variant>
      <vt:variant>
        <vt:lpwstr/>
      </vt:variant>
      <vt:variant>
        <vt:lpwstr>_Toc437961344</vt:lpwstr>
      </vt:variant>
      <vt:variant>
        <vt:i4>1572918</vt:i4>
      </vt:variant>
      <vt:variant>
        <vt:i4>2081</vt:i4>
      </vt:variant>
      <vt:variant>
        <vt:i4>0</vt:i4>
      </vt:variant>
      <vt:variant>
        <vt:i4>5</vt:i4>
      </vt:variant>
      <vt:variant>
        <vt:lpwstr/>
      </vt:variant>
      <vt:variant>
        <vt:lpwstr>_Toc437961343</vt:lpwstr>
      </vt:variant>
      <vt:variant>
        <vt:i4>1572918</vt:i4>
      </vt:variant>
      <vt:variant>
        <vt:i4>2075</vt:i4>
      </vt:variant>
      <vt:variant>
        <vt:i4>0</vt:i4>
      </vt:variant>
      <vt:variant>
        <vt:i4>5</vt:i4>
      </vt:variant>
      <vt:variant>
        <vt:lpwstr/>
      </vt:variant>
      <vt:variant>
        <vt:lpwstr>_Toc437961342</vt:lpwstr>
      </vt:variant>
      <vt:variant>
        <vt:i4>1572918</vt:i4>
      </vt:variant>
      <vt:variant>
        <vt:i4>2069</vt:i4>
      </vt:variant>
      <vt:variant>
        <vt:i4>0</vt:i4>
      </vt:variant>
      <vt:variant>
        <vt:i4>5</vt:i4>
      </vt:variant>
      <vt:variant>
        <vt:lpwstr/>
      </vt:variant>
      <vt:variant>
        <vt:lpwstr>_Toc437961341</vt:lpwstr>
      </vt:variant>
      <vt:variant>
        <vt:i4>1572918</vt:i4>
      </vt:variant>
      <vt:variant>
        <vt:i4>2063</vt:i4>
      </vt:variant>
      <vt:variant>
        <vt:i4>0</vt:i4>
      </vt:variant>
      <vt:variant>
        <vt:i4>5</vt:i4>
      </vt:variant>
      <vt:variant>
        <vt:lpwstr/>
      </vt:variant>
      <vt:variant>
        <vt:lpwstr>_Toc437961340</vt:lpwstr>
      </vt:variant>
      <vt:variant>
        <vt:i4>2031670</vt:i4>
      </vt:variant>
      <vt:variant>
        <vt:i4>2057</vt:i4>
      </vt:variant>
      <vt:variant>
        <vt:i4>0</vt:i4>
      </vt:variant>
      <vt:variant>
        <vt:i4>5</vt:i4>
      </vt:variant>
      <vt:variant>
        <vt:lpwstr/>
      </vt:variant>
      <vt:variant>
        <vt:lpwstr>_Toc437961339</vt:lpwstr>
      </vt:variant>
      <vt:variant>
        <vt:i4>2031670</vt:i4>
      </vt:variant>
      <vt:variant>
        <vt:i4>2051</vt:i4>
      </vt:variant>
      <vt:variant>
        <vt:i4>0</vt:i4>
      </vt:variant>
      <vt:variant>
        <vt:i4>5</vt:i4>
      </vt:variant>
      <vt:variant>
        <vt:lpwstr/>
      </vt:variant>
      <vt:variant>
        <vt:lpwstr>_Toc437961338</vt:lpwstr>
      </vt:variant>
      <vt:variant>
        <vt:i4>2031670</vt:i4>
      </vt:variant>
      <vt:variant>
        <vt:i4>2045</vt:i4>
      </vt:variant>
      <vt:variant>
        <vt:i4>0</vt:i4>
      </vt:variant>
      <vt:variant>
        <vt:i4>5</vt:i4>
      </vt:variant>
      <vt:variant>
        <vt:lpwstr/>
      </vt:variant>
      <vt:variant>
        <vt:lpwstr>_Toc437961337</vt:lpwstr>
      </vt:variant>
      <vt:variant>
        <vt:i4>2031670</vt:i4>
      </vt:variant>
      <vt:variant>
        <vt:i4>2039</vt:i4>
      </vt:variant>
      <vt:variant>
        <vt:i4>0</vt:i4>
      </vt:variant>
      <vt:variant>
        <vt:i4>5</vt:i4>
      </vt:variant>
      <vt:variant>
        <vt:lpwstr/>
      </vt:variant>
      <vt:variant>
        <vt:lpwstr>_Toc437961336</vt:lpwstr>
      </vt:variant>
      <vt:variant>
        <vt:i4>2031670</vt:i4>
      </vt:variant>
      <vt:variant>
        <vt:i4>2033</vt:i4>
      </vt:variant>
      <vt:variant>
        <vt:i4>0</vt:i4>
      </vt:variant>
      <vt:variant>
        <vt:i4>5</vt:i4>
      </vt:variant>
      <vt:variant>
        <vt:lpwstr/>
      </vt:variant>
      <vt:variant>
        <vt:lpwstr>_Toc437961335</vt:lpwstr>
      </vt:variant>
      <vt:variant>
        <vt:i4>2031670</vt:i4>
      </vt:variant>
      <vt:variant>
        <vt:i4>2027</vt:i4>
      </vt:variant>
      <vt:variant>
        <vt:i4>0</vt:i4>
      </vt:variant>
      <vt:variant>
        <vt:i4>5</vt:i4>
      </vt:variant>
      <vt:variant>
        <vt:lpwstr/>
      </vt:variant>
      <vt:variant>
        <vt:lpwstr>_Toc437961334</vt:lpwstr>
      </vt:variant>
      <vt:variant>
        <vt:i4>2031670</vt:i4>
      </vt:variant>
      <vt:variant>
        <vt:i4>2021</vt:i4>
      </vt:variant>
      <vt:variant>
        <vt:i4>0</vt:i4>
      </vt:variant>
      <vt:variant>
        <vt:i4>5</vt:i4>
      </vt:variant>
      <vt:variant>
        <vt:lpwstr/>
      </vt:variant>
      <vt:variant>
        <vt:lpwstr>_Toc437961333</vt:lpwstr>
      </vt:variant>
      <vt:variant>
        <vt:i4>2031670</vt:i4>
      </vt:variant>
      <vt:variant>
        <vt:i4>2015</vt:i4>
      </vt:variant>
      <vt:variant>
        <vt:i4>0</vt:i4>
      </vt:variant>
      <vt:variant>
        <vt:i4>5</vt:i4>
      </vt:variant>
      <vt:variant>
        <vt:lpwstr/>
      </vt:variant>
      <vt:variant>
        <vt:lpwstr>_Toc437961332</vt:lpwstr>
      </vt:variant>
      <vt:variant>
        <vt:i4>2031670</vt:i4>
      </vt:variant>
      <vt:variant>
        <vt:i4>2009</vt:i4>
      </vt:variant>
      <vt:variant>
        <vt:i4>0</vt:i4>
      </vt:variant>
      <vt:variant>
        <vt:i4>5</vt:i4>
      </vt:variant>
      <vt:variant>
        <vt:lpwstr/>
      </vt:variant>
      <vt:variant>
        <vt:lpwstr>_Toc437961331</vt:lpwstr>
      </vt:variant>
      <vt:variant>
        <vt:i4>2031670</vt:i4>
      </vt:variant>
      <vt:variant>
        <vt:i4>2003</vt:i4>
      </vt:variant>
      <vt:variant>
        <vt:i4>0</vt:i4>
      </vt:variant>
      <vt:variant>
        <vt:i4>5</vt:i4>
      </vt:variant>
      <vt:variant>
        <vt:lpwstr/>
      </vt:variant>
      <vt:variant>
        <vt:lpwstr>_Toc437961330</vt:lpwstr>
      </vt:variant>
      <vt:variant>
        <vt:i4>1966134</vt:i4>
      </vt:variant>
      <vt:variant>
        <vt:i4>1997</vt:i4>
      </vt:variant>
      <vt:variant>
        <vt:i4>0</vt:i4>
      </vt:variant>
      <vt:variant>
        <vt:i4>5</vt:i4>
      </vt:variant>
      <vt:variant>
        <vt:lpwstr/>
      </vt:variant>
      <vt:variant>
        <vt:lpwstr>_Toc437961329</vt:lpwstr>
      </vt:variant>
      <vt:variant>
        <vt:i4>1966134</vt:i4>
      </vt:variant>
      <vt:variant>
        <vt:i4>1991</vt:i4>
      </vt:variant>
      <vt:variant>
        <vt:i4>0</vt:i4>
      </vt:variant>
      <vt:variant>
        <vt:i4>5</vt:i4>
      </vt:variant>
      <vt:variant>
        <vt:lpwstr/>
      </vt:variant>
      <vt:variant>
        <vt:lpwstr>_Toc437961328</vt:lpwstr>
      </vt:variant>
      <vt:variant>
        <vt:i4>1966134</vt:i4>
      </vt:variant>
      <vt:variant>
        <vt:i4>1985</vt:i4>
      </vt:variant>
      <vt:variant>
        <vt:i4>0</vt:i4>
      </vt:variant>
      <vt:variant>
        <vt:i4>5</vt:i4>
      </vt:variant>
      <vt:variant>
        <vt:lpwstr/>
      </vt:variant>
      <vt:variant>
        <vt:lpwstr>_Toc437961327</vt:lpwstr>
      </vt:variant>
      <vt:variant>
        <vt:i4>1966134</vt:i4>
      </vt:variant>
      <vt:variant>
        <vt:i4>1979</vt:i4>
      </vt:variant>
      <vt:variant>
        <vt:i4>0</vt:i4>
      </vt:variant>
      <vt:variant>
        <vt:i4>5</vt:i4>
      </vt:variant>
      <vt:variant>
        <vt:lpwstr/>
      </vt:variant>
      <vt:variant>
        <vt:lpwstr>_Toc437961326</vt:lpwstr>
      </vt:variant>
      <vt:variant>
        <vt:i4>1966134</vt:i4>
      </vt:variant>
      <vt:variant>
        <vt:i4>1973</vt:i4>
      </vt:variant>
      <vt:variant>
        <vt:i4>0</vt:i4>
      </vt:variant>
      <vt:variant>
        <vt:i4>5</vt:i4>
      </vt:variant>
      <vt:variant>
        <vt:lpwstr/>
      </vt:variant>
      <vt:variant>
        <vt:lpwstr>_Toc437961325</vt:lpwstr>
      </vt:variant>
      <vt:variant>
        <vt:i4>1966134</vt:i4>
      </vt:variant>
      <vt:variant>
        <vt:i4>1967</vt:i4>
      </vt:variant>
      <vt:variant>
        <vt:i4>0</vt:i4>
      </vt:variant>
      <vt:variant>
        <vt:i4>5</vt:i4>
      </vt:variant>
      <vt:variant>
        <vt:lpwstr/>
      </vt:variant>
      <vt:variant>
        <vt:lpwstr>_Toc437961324</vt:lpwstr>
      </vt:variant>
      <vt:variant>
        <vt:i4>1966134</vt:i4>
      </vt:variant>
      <vt:variant>
        <vt:i4>1961</vt:i4>
      </vt:variant>
      <vt:variant>
        <vt:i4>0</vt:i4>
      </vt:variant>
      <vt:variant>
        <vt:i4>5</vt:i4>
      </vt:variant>
      <vt:variant>
        <vt:lpwstr/>
      </vt:variant>
      <vt:variant>
        <vt:lpwstr>_Toc437961323</vt:lpwstr>
      </vt:variant>
      <vt:variant>
        <vt:i4>1966134</vt:i4>
      </vt:variant>
      <vt:variant>
        <vt:i4>1955</vt:i4>
      </vt:variant>
      <vt:variant>
        <vt:i4>0</vt:i4>
      </vt:variant>
      <vt:variant>
        <vt:i4>5</vt:i4>
      </vt:variant>
      <vt:variant>
        <vt:lpwstr/>
      </vt:variant>
      <vt:variant>
        <vt:lpwstr>_Toc437961322</vt:lpwstr>
      </vt:variant>
      <vt:variant>
        <vt:i4>1966134</vt:i4>
      </vt:variant>
      <vt:variant>
        <vt:i4>1949</vt:i4>
      </vt:variant>
      <vt:variant>
        <vt:i4>0</vt:i4>
      </vt:variant>
      <vt:variant>
        <vt:i4>5</vt:i4>
      </vt:variant>
      <vt:variant>
        <vt:lpwstr/>
      </vt:variant>
      <vt:variant>
        <vt:lpwstr>_Toc437961321</vt:lpwstr>
      </vt:variant>
      <vt:variant>
        <vt:i4>1966134</vt:i4>
      </vt:variant>
      <vt:variant>
        <vt:i4>1943</vt:i4>
      </vt:variant>
      <vt:variant>
        <vt:i4>0</vt:i4>
      </vt:variant>
      <vt:variant>
        <vt:i4>5</vt:i4>
      </vt:variant>
      <vt:variant>
        <vt:lpwstr/>
      </vt:variant>
      <vt:variant>
        <vt:lpwstr>_Toc437961320</vt:lpwstr>
      </vt:variant>
      <vt:variant>
        <vt:i4>1900598</vt:i4>
      </vt:variant>
      <vt:variant>
        <vt:i4>1937</vt:i4>
      </vt:variant>
      <vt:variant>
        <vt:i4>0</vt:i4>
      </vt:variant>
      <vt:variant>
        <vt:i4>5</vt:i4>
      </vt:variant>
      <vt:variant>
        <vt:lpwstr/>
      </vt:variant>
      <vt:variant>
        <vt:lpwstr>_Toc437961319</vt:lpwstr>
      </vt:variant>
      <vt:variant>
        <vt:i4>1900598</vt:i4>
      </vt:variant>
      <vt:variant>
        <vt:i4>1931</vt:i4>
      </vt:variant>
      <vt:variant>
        <vt:i4>0</vt:i4>
      </vt:variant>
      <vt:variant>
        <vt:i4>5</vt:i4>
      </vt:variant>
      <vt:variant>
        <vt:lpwstr/>
      </vt:variant>
      <vt:variant>
        <vt:lpwstr>_Toc437961318</vt:lpwstr>
      </vt:variant>
      <vt:variant>
        <vt:i4>1900598</vt:i4>
      </vt:variant>
      <vt:variant>
        <vt:i4>1925</vt:i4>
      </vt:variant>
      <vt:variant>
        <vt:i4>0</vt:i4>
      </vt:variant>
      <vt:variant>
        <vt:i4>5</vt:i4>
      </vt:variant>
      <vt:variant>
        <vt:lpwstr/>
      </vt:variant>
      <vt:variant>
        <vt:lpwstr>_Toc437961317</vt:lpwstr>
      </vt:variant>
      <vt:variant>
        <vt:i4>1900598</vt:i4>
      </vt:variant>
      <vt:variant>
        <vt:i4>1919</vt:i4>
      </vt:variant>
      <vt:variant>
        <vt:i4>0</vt:i4>
      </vt:variant>
      <vt:variant>
        <vt:i4>5</vt:i4>
      </vt:variant>
      <vt:variant>
        <vt:lpwstr/>
      </vt:variant>
      <vt:variant>
        <vt:lpwstr>_Toc437961316</vt:lpwstr>
      </vt:variant>
      <vt:variant>
        <vt:i4>1900598</vt:i4>
      </vt:variant>
      <vt:variant>
        <vt:i4>1913</vt:i4>
      </vt:variant>
      <vt:variant>
        <vt:i4>0</vt:i4>
      </vt:variant>
      <vt:variant>
        <vt:i4>5</vt:i4>
      </vt:variant>
      <vt:variant>
        <vt:lpwstr/>
      </vt:variant>
      <vt:variant>
        <vt:lpwstr>_Toc437961315</vt:lpwstr>
      </vt:variant>
      <vt:variant>
        <vt:i4>1900598</vt:i4>
      </vt:variant>
      <vt:variant>
        <vt:i4>1907</vt:i4>
      </vt:variant>
      <vt:variant>
        <vt:i4>0</vt:i4>
      </vt:variant>
      <vt:variant>
        <vt:i4>5</vt:i4>
      </vt:variant>
      <vt:variant>
        <vt:lpwstr/>
      </vt:variant>
      <vt:variant>
        <vt:lpwstr>_Toc437961314</vt:lpwstr>
      </vt:variant>
      <vt:variant>
        <vt:i4>1900598</vt:i4>
      </vt:variant>
      <vt:variant>
        <vt:i4>1901</vt:i4>
      </vt:variant>
      <vt:variant>
        <vt:i4>0</vt:i4>
      </vt:variant>
      <vt:variant>
        <vt:i4>5</vt:i4>
      </vt:variant>
      <vt:variant>
        <vt:lpwstr/>
      </vt:variant>
      <vt:variant>
        <vt:lpwstr>_Toc437961313</vt:lpwstr>
      </vt:variant>
      <vt:variant>
        <vt:i4>1900598</vt:i4>
      </vt:variant>
      <vt:variant>
        <vt:i4>1895</vt:i4>
      </vt:variant>
      <vt:variant>
        <vt:i4>0</vt:i4>
      </vt:variant>
      <vt:variant>
        <vt:i4>5</vt:i4>
      </vt:variant>
      <vt:variant>
        <vt:lpwstr/>
      </vt:variant>
      <vt:variant>
        <vt:lpwstr>_Toc437961312</vt:lpwstr>
      </vt:variant>
      <vt:variant>
        <vt:i4>1900598</vt:i4>
      </vt:variant>
      <vt:variant>
        <vt:i4>1889</vt:i4>
      </vt:variant>
      <vt:variant>
        <vt:i4>0</vt:i4>
      </vt:variant>
      <vt:variant>
        <vt:i4>5</vt:i4>
      </vt:variant>
      <vt:variant>
        <vt:lpwstr/>
      </vt:variant>
      <vt:variant>
        <vt:lpwstr>_Toc437961311</vt:lpwstr>
      </vt:variant>
      <vt:variant>
        <vt:i4>1900598</vt:i4>
      </vt:variant>
      <vt:variant>
        <vt:i4>1883</vt:i4>
      </vt:variant>
      <vt:variant>
        <vt:i4>0</vt:i4>
      </vt:variant>
      <vt:variant>
        <vt:i4>5</vt:i4>
      </vt:variant>
      <vt:variant>
        <vt:lpwstr/>
      </vt:variant>
      <vt:variant>
        <vt:lpwstr>_Toc437961310</vt:lpwstr>
      </vt:variant>
      <vt:variant>
        <vt:i4>1835062</vt:i4>
      </vt:variant>
      <vt:variant>
        <vt:i4>1877</vt:i4>
      </vt:variant>
      <vt:variant>
        <vt:i4>0</vt:i4>
      </vt:variant>
      <vt:variant>
        <vt:i4>5</vt:i4>
      </vt:variant>
      <vt:variant>
        <vt:lpwstr/>
      </vt:variant>
      <vt:variant>
        <vt:lpwstr>_Toc437961309</vt:lpwstr>
      </vt:variant>
      <vt:variant>
        <vt:i4>1835062</vt:i4>
      </vt:variant>
      <vt:variant>
        <vt:i4>1871</vt:i4>
      </vt:variant>
      <vt:variant>
        <vt:i4>0</vt:i4>
      </vt:variant>
      <vt:variant>
        <vt:i4>5</vt:i4>
      </vt:variant>
      <vt:variant>
        <vt:lpwstr/>
      </vt:variant>
      <vt:variant>
        <vt:lpwstr>_Toc437961308</vt:lpwstr>
      </vt:variant>
      <vt:variant>
        <vt:i4>1835062</vt:i4>
      </vt:variant>
      <vt:variant>
        <vt:i4>1865</vt:i4>
      </vt:variant>
      <vt:variant>
        <vt:i4>0</vt:i4>
      </vt:variant>
      <vt:variant>
        <vt:i4>5</vt:i4>
      </vt:variant>
      <vt:variant>
        <vt:lpwstr/>
      </vt:variant>
      <vt:variant>
        <vt:lpwstr>_Toc437961307</vt:lpwstr>
      </vt:variant>
      <vt:variant>
        <vt:i4>1835062</vt:i4>
      </vt:variant>
      <vt:variant>
        <vt:i4>1859</vt:i4>
      </vt:variant>
      <vt:variant>
        <vt:i4>0</vt:i4>
      </vt:variant>
      <vt:variant>
        <vt:i4>5</vt:i4>
      </vt:variant>
      <vt:variant>
        <vt:lpwstr/>
      </vt:variant>
      <vt:variant>
        <vt:lpwstr>_Toc437961306</vt:lpwstr>
      </vt:variant>
      <vt:variant>
        <vt:i4>1835062</vt:i4>
      </vt:variant>
      <vt:variant>
        <vt:i4>1853</vt:i4>
      </vt:variant>
      <vt:variant>
        <vt:i4>0</vt:i4>
      </vt:variant>
      <vt:variant>
        <vt:i4>5</vt:i4>
      </vt:variant>
      <vt:variant>
        <vt:lpwstr/>
      </vt:variant>
      <vt:variant>
        <vt:lpwstr>_Toc437961305</vt:lpwstr>
      </vt:variant>
      <vt:variant>
        <vt:i4>1835062</vt:i4>
      </vt:variant>
      <vt:variant>
        <vt:i4>1847</vt:i4>
      </vt:variant>
      <vt:variant>
        <vt:i4>0</vt:i4>
      </vt:variant>
      <vt:variant>
        <vt:i4>5</vt:i4>
      </vt:variant>
      <vt:variant>
        <vt:lpwstr/>
      </vt:variant>
      <vt:variant>
        <vt:lpwstr>_Toc437961304</vt:lpwstr>
      </vt:variant>
      <vt:variant>
        <vt:i4>1835062</vt:i4>
      </vt:variant>
      <vt:variant>
        <vt:i4>1841</vt:i4>
      </vt:variant>
      <vt:variant>
        <vt:i4>0</vt:i4>
      </vt:variant>
      <vt:variant>
        <vt:i4>5</vt:i4>
      </vt:variant>
      <vt:variant>
        <vt:lpwstr/>
      </vt:variant>
      <vt:variant>
        <vt:lpwstr>_Toc437961303</vt:lpwstr>
      </vt:variant>
      <vt:variant>
        <vt:i4>1835062</vt:i4>
      </vt:variant>
      <vt:variant>
        <vt:i4>1835</vt:i4>
      </vt:variant>
      <vt:variant>
        <vt:i4>0</vt:i4>
      </vt:variant>
      <vt:variant>
        <vt:i4>5</vt:i4>
      </vt:variant>
      <vt:variant>
        <vt:lpwstr/>
      </vt:variant>
      <vt:variant>
        <vt:lpwstr>_Toc437961302</vt:lpwstr>
      </vt:variant>
      <vt:variant>
        <vt:i4>1835062</vt:i4>
      </vt:variant>
      <vt:variant>
        <vt:i4>1829</vt:i4>
      </vt:variant>
      <vt:variant>
        <vt:i4>0</vt:i4>
      </vt:variant>
      <vt:variant>
        <vt:i4>5</vt:i4>
      </vt:variant>
      <vt:variant>
        <vt:lpwstr/>
      </vt:variant>
      <vt:variant>
        <vt:lpwstr>_Toc437961301</vt:lpwstr>
      </vt:variant>
      <vt:variant>
        <vt:i4>1835062</vt:i4>
      </vt:variant>
      <vt:variant>
        <vt:i4>1820</vt:i4>
      </vt:variant>
      <vt:variant>
        <vt:i4>0</vt:i4>
      </vt:variant>
      <vt:variant>
        <vt:i4>5</vt:i4>
      </vt:variant>
      <vt:variant>
        <vt:lpwstr/>
      </vt:variant>
      <vt:variant>
        <vt:lpwstr>_Toc437961300</vt:lpwstr>
      </vt:variant>
      <vt:variant>
        <vt:i4>1376311</vt:i4>
      </vt:variant>
      <vt:variant>
        <vt:i4>1814</vt:i4>
      </vt:variant>
      <vt:variant>
        <vt:i4>0</vt:i4>
      </vt:variant>
      <vt:variant>
        <vt:i4>5</vt:i4>
      </vt:variant>
      <vt:variant>
        <vt:lpwstr/>
      </vt:variant>
      <vt:variant>
        <vt:lpwstr>_Toc437961299</vt:lpwstr>
      </vt:variant>
      <vt:variant>
        <vt:i4>1376311</vt:i4>
      </vt:variant>
      <vt:variant>
        <vt:i4>1808</vt:i4>
      </vt:variant>
      <vt:variant>
        <vt:i4>0</vt:i4>
      </vt:variant>
      <vt:variant>
        <vt:i4>5</vt:i4>
      </vt:variant>
      <vt:variant>
        <vt:lpwstr/>
      </vt:variant>
      <vt:variant>
        <vt:lpwstr>_Toc437961298</vt:lpwstr>
      </vt:variant>
      <vt:variant>
        <vt:i4>1376311</vt:i4>
      </vt:variant>
      <vt:variant>
        <vt:i4>1802</vt:i4>
      </vt:variant>
      <vt:variant>
        <vt:i4>0</vt:i4>
      </vt:variant>
      <vt:variant>
        <vt:i4>5</vt:i4>
      </vt:variant>
      <vt:variant>
        <vt:lpwstr/>
      </vt:variant>
      <vt:variant>
        <vt:lpwstr>_Toc437961297</vt:lpwstr>
      </vt:variant>
      <vt:variant>
        <vt:i4>1376311</vt:i4>
      </vt:variant>
      <vt:variant>
        <vt:i4>1796</vt:i4>
      </vt:variant>
      <vt:variant>
        <vt:i4>0</vt:i4>
      </vt:variant>
      <vt:variant>
        <vt:i4>5</vt:i4>
      </vt:variant>
      <vt:variant>
        <vt:lpwstr/>
      </vt:variant>
      <vt:variant>
        <vt:lpwstr>_Toc437961296</vt:lpwstr>
      </vt:variant>
      <vt:variant>
        <vt:i4>1376311</vt:i4>
      </vt:variant>
      <vt:variant>
        <vt:i4>1790</vt:i4>
      </vt:variant>
      <vt:variant>
        <vt:i4>0</vt:i4>
      </vt:variant>
      <vt:variant>
        <vt:i4>5</vt:i4>
      </vt:variant>
      <vt:variant>
        <vt:lpwstr/>
      </vt:variant>
      <vt:variant>
        <vt:lpwstr>_Toc437961295</vt:lpwstr>
      </vt:variant>
      <vt:variant>
        <vt:i4>1376311</vt:i4>
      </vt:variant>
      <vt:variant>
        <vt:i4>1784</vt:i4>
      </vt:variant>
      <vt:variant>
        <vt:i4>0</vt:i4>
      </vt:variant>
      <vt:variant>
        <vt:i4>5</vt:i4>
      </vt:variant>
      <vt:variant>
        <vt:lpwstr/>
      </vt:variant>
      <vt:variant>
        <vt:lpwstr>_Toc437961294</vt:lpwstr>
      </vt:variant>
      <vt:variant>
        <vt:i4>1376311</vt:i4>
      </vt:variant>
      <vt:variant>
        <vt:i4>1778</vt:i4>
      </vt:variant>
      <vt:variant>
        <vt:i4>0</vt:i4>
      </vt:variant>
      <vt:variant>
        <vt:i4>5</vt:i4>
      </vt:variant>
      <vt:variant>
        <vt:lpwstr/>
      </vt:variant>
      <vt:variant>
        <vt:lpwstr>_Toc437961293</vt:lpwstr>
      </vt:variant>
      <vt:variant>
        <vt:i4>1376311</vt:i4>
      </vt:variant>
      <vt:variant>
        <vt:i4>1772</vt:i4>
      </vt:variant>
      <vt:variant>
        <vt:i4>0</vt:i4>
      </vt:variant>
      <vt:variant>
        <vt:i4>5</vt:i4>
      </vt:variant>
      <vt:variant>
        <vt:lpwstr/>
      </vt:variant>
      <vt:variant>
        <vt:lpwstr>_Toc437961292</vt:lpwstr>
      </vt:variant>
      <vt:variant>
        <vt:i4>1376311</vt:i4>
      </vt:variant>
      <vt:variant>
        <vt:i4>1766</vt:i4>
      </vt:variant>
      <vt:variant>
        <vt:i4>0</vt:i4>
      </vt:variant>
      <vt:variant>
        <vt:i4>5</vt:i4>
      </vt:variant>
      <vt:variant>
        <vt:lpwstr/>
      </vt:variant>
      <vt:variant>
        <vt:lpwstr>_Toc437961291</vt:lpwstr>
      </vt:variant>
      <vt:variant>
        <vt:i4>1376311</vt:i4>
      </vt:variant>
      <vt:variant>
        <vt:i4>1760</vt:i4>
      </vt:variant>
      <vt:variant>
        <vt:i4>0</vt:i4>
      </vt:variant>
      <vt:variant>
        <vt:i4>5</vt:i4>
      </vt:variant>
      <vt:variant>
        <vt:lpwstr/>
      </vt:variant>
      <vt:variant>
        <vt:lpwstr>_Toc437961290</vt:lpwstr>
      </vt:variant>
      <vt:variant>
        <vt:i4>1310775</vt:i4>
      </vt:variant>
      <vt:variant>
        <vt:i4>1754</vt:i4>
      </vt:variant>
      <vt:variant>
        <vt:i4>0</vt:i4>
      </vt:variant>
      <vt:variant>
        <vt:i4>5</vt:i4>
      </vt:variant>
      <vt:variant>
        <vt:lpwstr/>
      </vt:variant>
      <vt:variant>
        <vt:lpwstr>_Toc437961289</vt:lpwstr>
      </vt:variant>
      <vt:variant>
        <vt:i4>1310775</vt:i4>
      </vt:variant>
      <vt:variant>
        <vt:i4>1748</vt:i4>
      </vt:variant>
      <vt:variant>
        <vt:i4>0</vt:i4>
      </vt:variant>
      <vt:variant>
        <vt:i4>5</vt:i4>
      </vt:variant>
      <vt:variant>
        <vt:lpwstr/>
      </vt:variant>
      <vt:variant>
        <vt:lpwstr>_Toc437961288</vt:lpwstr>
      </vt:variant>
      <vt:variant>
        <vt:i4>1310775</vt:i4>
      </vt:variant>
      <vt:variant>
        <vt:i4>1742</vt:i4>
      </vt:variant>
      <vt:variant>
        <vt:i4>0</vt:i4>
      </vt:variant>
      <vt:variant>
        <vt:i4>5</vt:i4>
      </vt:variant>
      <vt:variant>
        <vt:lpwstr/>
      </vt:variant>
      <vt:variant>
        <vt:lpwstr>_Toc437961287</vt:lpwstr>
      </vt:variant>
      <vt:variant>
        <vt:i4>1310775</vt:i4>
      </vt:variant>
      <vt:variant>
        <vt:i4>1736</vt:i4>
      </vt:variant>
      <vt:variant>
        <vt:i4>0</vt:i4>
      </vt:variant>
      <vt:variant>
        <vt:i4>5</vt:i4>
      </vt:variant>
      <vt:variant>
        <vt:lpwstr/>
      </vt:variant>
      <vt:variant>
        <vt:lpwstr>_Toc437961286</vt:lpwstr>
      </vt:variant>
      <vt:variant>
        <vt:i4>1310775</vt:i4>
      </vt:variant>
      <vt:variant>
        <vt:i4>1730</vt:i4>
      </vt:variant>
      <vt:variant>
        <vt:i4>0</vt:i4>
      </vt:variant>
      <vt:variant>
        <vt:i4>5</vt:i4>
      </vt:variant>
      <vt:variant>
        <vt:lpwstr/>
      </vt:variant>
      <vt:variant>
        <vt:lpwstr>_Toc437961285</vt:lpwstr>
      </vt:variant>
      <vt:variant>
        <vt:i4>1310775</vt:i4>
      </vt:variant>
      <vt:variant>
        <vt:i4>1724</vt:i4>
      </vt:variant>
      <vt:variant>
        <vt:i4>0</vt:i4>
      </vt:variant>
      <vt:variant>
        <vt:i4>5</vt:i4>
      </vt:variant>
      <vt:variant>
        <vt:lpwstr/>
      </vt:variant>
      <vt:variant>
        <vt:lpwstr>_Toc437961284</vt:lpwstr>
      </vt:variant>
      <vt:variant>
        <vt:i4>1310775</vt:i4>
      </vt:variant>
      <vt:variant>
        <vt:i4>1718</vt:i4>
      </vt:variant>
      <vt:variant>
        <vt:i4>0</vt:i4>
      </vt:variant>
      <vt:variant>
        <vt:i4>5</vt:i4>
      </vt:variant>
      <vt:variant>
        <vt:lpwstr/>
      </vt:variant>
      <vt:variant>
        <vt:lpwstr>_Toc437961283</vt:lpwstr>
      </vt:variant>
      <vt:variant>
        <vt:i4>1310775</vt:i4>
      </vt:variant>
      <vt:variant>
        <vt:i4>1712</vt:i4>
      </vt:variant>
      <vt:variant>
        <vt:i4>0</vt:i4>
      </vt:variant>
      <vt:variant>
        <vt:i4>5</vt:i4>
      </vt:variant>
      <vt:variant>
        <vt:lpwstr/>
      </vt:variant>
      <vt:variant>
        <vt:lpwstr>_Toc437961282</vt:lpwstr>
      </vt:variant>
      <vt:variant>
        <vt:i4>1310775</vt:i4>
      </vt:variant>
      <vt:variant>
        <vt:i4>1706</vt:i4>
      </vt:variant>
      <vt:variant>
        <vt:i4>0</vt:i4>
      </vt:variant>
      <vt:variant>
        <vt:i4>5</vt:i4>
      </vt:variant>
      <vt:variant>
        <vt:lpwstr/>
      </vt:variant>
      <vt:variant>
        <vt:lpwstr>_Toc437961281</vt:lpwstr>
      </vt:variant>
      <vt:variant>
        <vt:i4>1310775</vt:i4>
      </vt:variant>
      <vt:variant>
        <vt:i4>1700</vt:i4>
      </vt:variant>
      <vt:variant>
        <vt:i4>0</vt:i4>
      </vt:variant>
      <vt:variant>
        <vt:i4>5</vt:i4>
      </vt:variant>
      <vt:variant>
        <vt:lpwstr/>
      </vt:variant>
      <vt:variant>
        <vt:lpwstr>_Toc437961280</vt:lpwstr>
      </vt:variant>
      <vt:variant>
        <vt:i4>1769527</vt:i4>
      </vt:variant>
      <vt:variant>
        <vt:i4>1694</vt:i4>
      </vt:variant>
      <vt:variant>
        <vt:i4>0</vt:i4>
      </vt:variant>
      <vt:variant>
        <vt:i4>5</vt:i4>
      </vt:variant>
      <vt:variant>
        <vt:lpwstr/>
      </vt:variant>
      <vt:variant>
        <vt:lpwstr>_Toc437961279</vt:lpwstr>
      </vt:variant>
      <vt:variant>
        <vt:i4>1769527</vt:i4>
      </vt:variant>
      <vt:variant>
        <vt:i4>1688</vt:i4>
      </vt:variant>
      <vt:variant>
        <vt:i4>0</vt:i4>
      </vt:variant>
      <vt:variant>
        <vt:i4>5</vt:i4>
      </vt:variant>
      <vt:variant>
        <vt:lpwstr/>
      </vt:variant>
      <vt:variant>
        <vt:lpwstr>_Toc437961278</vt:lpwstr>
      </vt:variant>
      <vt:variant>
        <vt:i4>1769527</vt:i4>
      </vt:variant>
      <vt:variant>
        <vt:i4>1682</vt:i4>
      </vt:variant>
      <vt:variant>
        <vt:i4>0</vt:i4>
      </vt:variant>
      <vt:variant>
        <vt:i4>5</vt:i4>
      </vt:variant>
      <vt:variant>
        <vt:lpwstr/>
      </vt:variant>
      <vt:variant>
        <vt:lpwstr>_Toc437961277</vt:lpwstr>
      </vt:variant>
      <vt:variant>
        <vt:i4>1769527</vt:i4>
      </vt:variant>
      <vt:variant>
        <vt:i4>1676</vt:i4>
      </vt:variant>
      <vt:variant>
        <vt:i4>0</vt:i4>
      </vt:variant>
      <vt:variant>
        <vt:i4>5</vt:i4>
      </vt:variant>
      <vt:variant>
        <vt:lpwstr/>
      </vt:variant>
      <vt:variant>
        <vt:lpwstr>_Toc437961276</vt:lpwstr>
      </vt:variant>
      <vt:variant>
        <vt:i4>1769527</vt:i4>
      </vt:variant>
      <vt:variant>
        <vt:i4>1670</vt:i4>
      </vt:variant>
      <vt:variant>
        <vt:i4>0</vt:i4>
      </vt:variant>
      <vt:variant>
        <vt:i4>5</vt:i4>
      </vt:variant>
      <vt:variant>
        <vt:lpwstr/>
      </vt:variant>
      <vt:variant>
        <vt:lpwstr>_Toc437961275</vt:lpwstr>
      </vt:variant>
      <vt:variant>
        <vt:i4>1769527</vt:i4>
      </vt:variant>
      <vt:variant>
        <vt:i4>1664</vt:i4>
      </vt:variant>
      <vt:variant>
        <vt:i4>0</vt:i4>
      </vt:variant>
      <vt:variant>
        <vt:i4>5</vt:i4>
      </vt:variant>
      <vt:variant>
        <vt:lpwstr/>
      </vt:variant>
      <vt:variant>
        <vt:lpwstr>_Toc437961274</vt:lpwstr>
      </vt:variant>
      <vt:variant>
        <vt:i4>1769527</vt:i4>
      </vt:variant>
      <vt:variant>
        <vt:i4>1658</vt:i4>
      </vt:variant>
      <vt:variant>
        <vt:i4>0</vt:i4>
      </vt:variant>
      <vt:variant>
        <vt:i4>5</vt:i4>
      </vt:variant>
      <vt:variant>
        <vt:lpwstr/>
      </vt:variant>
      <vt:variant>
        <vt:lpwstr>_Toc437961273</vt:lpwstr>
      </vt:variant>
      <vt:variant>
        <vt:i4>1769527</vt:i4>
      </vt:variant>
      <vt:variant>
        <vt:i4>1652</vt:i4>
      </vt:variant>
      <vt:variant>
        <vt:i4>0</vt:i4>
      </vt:variant>
      <vt:variant>
        <vt:i4>5</vt:i4>
      </vt:variant>
      <vt:variant>
        <vt:lpwstr/>
      </vt:variant>
      <vt:variant>
        <vt:lpwstr>_Toc437961272</vt:lpwstr>
      </vt:variant>
      <vt:variant>
        <vt:i4>1769527</vt:i4>
      </vt:variant>
      <vt:variant>
        <vt:i4>1646</vt:i4>
      </vt:variant>
      <vt:variant>
        <vt:i4>0</vt:i4>
      </vt:variant>
      <vt:variant>
        <vt:i4>5</vt:i4>
      </vt:variant>
      <vt:variant>
        <vt:lpwstr/>
      </vt:variant>
      <vt:variant>
        <vt:lpwstr>_Toc437961271</vt:lpwstr>
      </vt:variant>
      <vt:variant>
        <vt:i4>1769527</vt:i4>
      </vt:variant>
      <vt:variant>
        <vt:i4>1640</vt:i4>
      </vt:variant>
      <vt:variant>
        <vt:i4>0</vt:i4>
      </vt:variant>
      <vt:variant>
        <vt:i4>5</vt:i4>
      </vt:variant>
      <vt:variant>
        <vt:lpwstr/>
      </vt:variant>
      <vt:variant>
        <vt:lpwstr>_Toc437961270</vt:lpwstr>
      </vt:variant>
      <vt:variant>
        <vt:i4>1703991</vt:i4>
      </vt:variant>
      <vt:variant>
        <vt:i4>1634</vt:i4>
      </vt:variant>
      <vt:variant>
        <vt:i4>0</vt:i4>
      </vt:variant>
      <vt:variant>
        <vt:i4>5</vt:i4>
      </vt:variant>
      <vt:variant>
        <vt:lpwstr/>
      </vt:variant>
      <vt:variant>
        <vt:lpwstr>_Toc437961269</vt:lpwstr>
      </vt:variant>
      <vt:variant>
        <vt:i4>1703991</vt:i4>
      </vt:variant>
      <vt:variant>
        <vt:i4>1628</vt:i4>
      </vt:variant>
      <vt:variant>
        <vt:i4>0</vt:i4>
      </vt:variant>
      <vt:variant>
        <vt:i4>5</vt:i4>
      </vt:variant>
      <vt:variant>
        <vt:lpwstr/>
      </vt:variant>
      <vt:variant>
        <vt:lpwstr>_Toc437961268</vt:lpwstr>
      </vt:variant>
      <vt:variant>
        <vt:i4>1703991</vt:i4>
      </vt:variant>
      <vt:variant>
        <vt:i4>1622</vt:i4>
      </vt:variant>
      <vt:variant>
        <vt:i4>0</vt:i4>
      </vt:variant>
      <vt:variant>
        <vt:i4>5</vt:i4>
      </vt:variant>
      <vt:variant>
        <vt:lpwstr/>
      </vt:variant>
      <vt:variant>
        <vt:lpwstr>_Toc437961267</vt:lpwstr>
      </vt:variant>
      <vt:variant>
        <vt:i4>1703991</vt:i4>
      </vt:variant>
      <vt:variant>
        <vt:i4>1616</vt:i4>
      </vt:variant>
      <vt:variant>
        <vt:i4>0</vt:i4>
      </vt:variant>
      <vt:variant>
        <vt:i4>5</vt:i4>
      </vt:variant>
      <vt:variant>
        <vt:lpwstr/>
      </vt:variant>
      <vt:variant>
        <vt:lpwstr>_Toc437961266</vt:lpwstr>
      </vt:variant>
      <vt:variant>
        <vt:i4>1703991</vt:i4>
      </vt:variant>
      <vt:variant>
        <vt:i4>1610</vt:i4>
      </vt:variant>
      <vt:variant>
        <vt:i4>0</vt:i4>
      </vt:variant>
      <vt:variant>
        <vt:i4>5</vt:i4>
      </vt:variant>
      <vt:variant>
        <vt:lpwstr/>
      </vt:variant>
      <vt:variant>
        <vt:lpwstr>_Toc437961265</vt:lpwstr>
      </vt:variant>
      <vt:variant>
        <vt:i4>1703991</vt:i4>
      </vt:variant>
      <vt:variant>
        <vt:i4>1604</vt:i4>
      </vt:variant>
      <vt:variant>
        <vt:i4>0</vt:i4>
      </vt:variant>
      <vt:variant>
        <vt:i4>5</vt:i4>
      </vt:variant>
      <vt:variant>
        <vt:lpwstr/>
      </vt:variant>
      <vt:variant>
        <vt:lpwstr>_Toc437961264</vt:lpwstr>
      </vt:variant>
      <vt:variant>
        <vt:i4>1703991</vt:i4>
      </vt:variant>
      <vt:variant>
        <vt:i4>1598</vt:i4>
      </vt:variant>
      <vt:variant>
        <vt:i4>0</vt:i4>
      </vt:variant>
      <vt:variant>
        <vt:i4>5</vt:i4>
      </vt:variant>
      <vt:variant>
        <vt:lpwstr/>
      </vt:variant>
      <vt:variant>
        <vt:lpwstr>_Toc437961263</vt:lpwstr>
      </vt:variant>
      <vt:variant>
        <vt:i4>1703991</vt:i4>
      </vt:variant>
      <vt:variant>
        <vt:i4>1592</vt:i4>
      </vt:variant>
      <vt:variant>
        <vt:i4>0</vt:i4>
      </vt:variant>
      <vt:variant>
        <vt:i4>5</vt:i4>
      </vt:variant>
      <vt:variant>
        <vt:lpwstr/>
      </vt:variant>
      <vt:variant>
        <vt:lpwstr>_Toc437961262</vt:lpwstr>
      </vt:variant>
      <vt:variant>
        <vt:i4>1703991</vt:i4>
      </vt:variant>
      <vt:variant>
        <vt:i4>1586</vt:i4>
      </vt:variant>
      <vt:variant>
        <vt:i4>0</vt:i4>
      </vt:variant>
      <vt:variant>
        <vt:i4>5</vt:i4>
      </vt:variant>
      <vt:variant>
        <vt:lpwstr/>
      </vt:variant>
      <vt:variant>
        <vt:lpwstr>_Toc437961261</vt:lpwstr>
      </vt:variant>
      <vt:variant>
        <vt:i4>1703991</vt:i4>
      </vt:variant>
      <vt:variant>
        <vt:i4>1580</vt:i4>
      </vt:variant>
      <vt:variant>
        <vt:i4>0</vt:i4>
      </vt:variant>
      <vt:variant>
        <vt:i4>5</vt:i4>
      </vt:variant>
      <vt:variant>
        <vt:lpwstr/>
      </vt:variant>
      <vt:variant>
        <vt:lpwstr>_Toc437961260</vt:lpwstr>
      </vt:variant>
      <vt:variant>
        <vt:i4>1638455</vt:i4>
      </vt:variant>
      <vt:variant>
        <vt:i4>1574</vt:i4>
      </vt:variant>
      <vt:variant>
        <vt:i4>0</vt:i4>
      </vt:variant>
      <vt:variant>
        <vt:i4>5</vt:i4>
      </vt:variant>
      <vt:variant>
        <vt:lpwstr/>
      </vt:variant>
      <vt:variant>
        <vt:lpwstr>_Toc437961259</vt:lpwstr>
      </vt:variant>
      <vt:variant>
        <vt:i4>1638455</vt:i4>
      </vt:variant>
      <vt:variant>
        <vt:i4>1568</vt:i4>
      </vt:variant>
      <vt:variant>
        <vt:i4>0</vt:i4>
      </vt:variant>
      <vt:variant>
        <vt:i4>5</vt:i4>
      </vt:variant>
      <vt:variant>
        <vt:lpwstr/>
      </vt:variant>
      <vt:variant>
        <vt:lpwstr>_Toc437961258</vt:lpwstr>
      </vt:variant>
      <vt:variant>
        <vt:i4>1638455</vt:i4>
      </vt:variant>
      <vt:variant>
        <vt:i4>1562</vt:i4>
      </vt:variant>
      <vt:variant>
        <vt:i4>0</vt:i4>
      </vt:variant>
      <vt:variant>
        <vt:i4>5</vt:i4>
      </vt:variant>
      <vt:variant>
        <vt:lpwstr/>
      </vt:variant>
      <vt:variant>
        <vt:lpwstr>_Toc437961257</vt:lpwstr>
      </vt:variant>
      <vt:variant>
        <vt:i4>1638455</vt:i4>
      </vt:variant>
      <vt:variant>
        <vt:i4>1556</vt:i4>
      </vt:variant>
      <vt:variant>
        <vt:i4>0</vt:i4>
      </vt:variant>
      <vt:variant>
        <vt:i4>5</vt:i4>
      </vt:variant>
      <vt:variant>
        <vt:lpwstr/>
      </vt:variant>
      <vt:variant>
        <vt:lpwstr>_Toc437961256</vt:lpwstr>
      </vt:variant>
      <vt:variant>
        <vt:i4>1638455</vt:i4>
      </vt:variant>
      <vt:variant>
        <vt:i4>1550</vt:i4>
      </vt:variant>
      <vt:variant>
        <vt:i4>0</vt:i4>
      </vt:variant>
      <vt:variant>
        <vt:i4>5</vt:i4>
      </vt:variant>
      <vt:variant>
        <vt:lpwstr/>
      </vt:variant>
      <vt:variant>
        <vt:lpwstr>_Toc437961255</vt:lpwstr>
      </vt:variant>
      <vt:variant>
        <vt:i4>1638455</vt:i4>
      </vt:variant>
      <vt:variant>
        <vt:i4>1544</vt:i4>
      </vt:variant>
      <vt:variant>
        <vt:i4>0</vt:i4>
      </vt:variant>
      <vt:variant>
        <vt:i4>5</vt:i4>
      </vt:variant>
      <vt:variant>
        <vt:lpwstr/>
      </vt:variant>
      <vt:variant>
        <vt:lpwstr>_Toc437961254</vt:lpwstr>
      </vt:variant>
      <vt:variant>
        <vt:i4>1638455</vt:i4>
      </vt:variant>
      <vt:variant>
        <vt:i4>1538</vt:i4>
      </vt:variant>
      <vt:variant>
        <vt:i4>0</vt:i4>
      </vt:variant>
      <vt:variant>
        <vt:i4>5</vt:i4>
      </vt:variant>
      <vt:variant>
        <vt:lpwstr/>
      </vt:variant>
      <vt:variant>
        <vt:lpwstr>_Toc437961253</vt:lpwstr>
      </vt:variant>
      <vt:variant>
        <vt:i4>1638455</vt:i4>
      </vt:variant>
      <vt:variant>
        <vt:i4>1532</vt:i4>
      </vt:variant>
      <vt:variant>
        <vt:i4>0</vt:i4>
      </vt:variant>
      <vt:variant>
        <vt:i4>5</vt:i4>
      </vt:variant>
      <vt:variant>
        <vt:lpwstr/>
      </vt:variant>
      <vt:variant>
        <vt:lpwstr>_Toc437961252</vt:lpwstr>
      </vt:variant>
      <vt:variant>
        <vt:i4>1638455</vt:i4>
      </vt:variant>
      <vt:variant>
        <vt:i4>1526</vt:i4>
      </vt:variant>
      <vt:variant>
        <vt:i4>0</vt:i4>
      </vt:variant>
      <vt:variant>
        <vt:i4>5</vt:i4>
      </vt:variant>
      <vt:variant>
        <vt:lpwstr/>
      </vt:variant>
      <vt:variant>
        <vt:lpwstr>_Toc437961251</vt:lpwstr>
      </vt:variant>
      <vt:variant>
        <vt:i4>1638455</vt:i4>
      </vt:variant>
      <vt:variant>
        <vt:i4>1520</vt:i4>
      </vt:variant>
      <vt:variant>
        <vt:i4>0</vt:i4>
      </vt:variant>
      <vt:variant>
        <vt:i4>5</vt:i4>
      </vt:variant>
      <vt:variant>
        <vt:lpwstr/>
      </vt:variant>
      <vt:variant>
        <vt:lpwstr>_Toc437961250</vt:lpwstr>
      </vt:variant>
      <vt:variant>
        <vt:i4>1572919</vt:i4>
      </vt:variant>
      <vt:variant>
        <vt:i4>1514</vt:i4>
      </vt:variant>
      <vt:variant>
        <vt:i4>0</vt:i4>
      </vt:variant>
      <vt:variant>
        <vt:i4>5</vt:i4>
      </vt:variant>
      <vt:variant>
        <vt:lpwstr/>
      </vt:variant>
      <vt:variant>
        <vt:lpwstr>_Toc437961249</vt:lpwstr>
      </vt:variant>
      <vt:variant>
        <vt:i4>1572919</vt:i4>
      </vt:variant>
      <vt:variant>
        <vt:i4>1508</vt:i4>
      </vt:variant>
      <vt:variant>
        <vt:i4>0</vt:i4>
      </vt:variant>
      <vt:variant>
        <vt:i4>5</vt:i4>
      </vt:variant>
      <vt:variant>
        <vt:lpwstr/>
      </vt:variant>
      <vt:variant>
        <vt:lpwstr>_Toc437961248</vt:lpwstr>
      </vt:variant>
      <vt:variant>
        <vt:i4>1572919</vt:i4>
      </vt:variant>
      <vt:variant>
        <vt:i4>1502</vt:i4>
      </vt:variant>
      <vt:variant>
        <vt:i4>0</vt:i4>
      </vt:variant>
      <vt:variant>
        <vt:i4>5</vt:i4>
      </vt:variant>
      <vt:variant>
        <vt:lpwstr/>
      </vt:variant>
      <vt:variant>
        <vt:lpwstr>_Toc437961247</vt:lpwstr>
      </vt:variant>
      <vt:variant>
        <vt:i4>1572919</vt:i4>
      </vt:variant>
      <vt:variant>
        <vt:i4>1496</vt:i4>
      </vt:variant>
      <vt:variant>
        <vt:i4>0</vt:i4>
      </vt:variant>
      <vt:variant>
        <vt:i4>5</vt:i4>
      </vt:variant>
      <vt:variant>
        <vt:lpwstr/>
      </vt:variant>
      <vt:variant>
        <vt:lpwstr>_Toc437961246</vt:lpwstr>
      </vt:variant>
      <vt:variant>
        <vt:i4>1572919</vt:i4>
      </vt:variant>
      <vt:variant>
        <vt:i4>1490</vt:i4>
      </vt:variant>
      <vt:variant>
        <vt:i4>0</vt:i4>
      </vt:variant>
      <vt:variant>
        <vt:i4>5</vt:i4>
      </vt:variant>
      <vt:variant>
        <vt:lpwstr/>
      </vt:variant>
      <vt:variant>
        <vt:lpwstr>_Toc437961245</vt:lpwstr>
      </vt:variant>
      <vt:variant>
        <vt:i4>1572919</vt:i4>
      </vt:variant>
      <vt:variant>
        <vt:i4>1484</vt:i4>
      </vt:variant>
      <vt:variant>
        <vt:i4>0</vt:i4>
      </vt:variant>
      <vt:variant>
        <vt:i4>5</vt:i4>
      </vt:variant>
      <vt:variant>
        <vt:lpwstr/>
      </vt:variant>
      <vt:variant>
        <vt:lpwstr>_Toc437961244</vt:lpwstr>
      </vt:variant>
      <vt:variant>
        <vt:i4>1572919</vt:i4>
      </vt:variant>
      <vt:variant>
        <vt:i4>1478</vt:i4>
      </vt:variant>
      <vt:variant>
        <vt:i4>0</vt:i4>
      </vt:variant>
      <vt:variant>
        <vt:i4>5</vt:i4>
      </vt:variant>
      <vt:variant>
        <vt:lpwstr/>
      </vt:variant>
      <vt:variant>
        <vt:lpwstr>_Toc437961243</vt:lpwstr>
      </vt:variant>
      <vt:variant>
        <vt:i4>1572919</vt:i4>
      </vt:variant>
      <vt:variant>
        <vt:i4>1472</vt:i4>
      </vt:variant>
      <vt:variant>
        <vt:i4>0</vt:i4>
      </vt:variant>
      <vt:variant>
        <vt:i4>5</vt:i4>
      </vt:variant>
      <vt:variant>
        <vt:lpwstr/>
      </vt:variant>
      <vt:variant>
        <vt:lpwstr>_Toc437961242</vt:lpwstr>
      </vt:variant>
      <vt:variant>
        <vt:i4>1572919</vt:i4>
      </vt:variant>
      <vt:variant>
        <vt:i4>1466</vt:i4>
      </vt:variant>
      <vt:variant>
        <vt:i4>0</vt:i4>
      </vt:variant>
      <vt:variant>
        <vt:i4>5</vt:i4>
      </vt:variant>
      <vt:variant>
        <vt:lpwstr/>
      </vt:variant>
      <vt:variant>
        <vt:lpwstr>_Toc437961241</vt:lpwstr>
      </vt:variant>
      <vt:variant>
        <vt:i4>1572919</vt:i4>
      </vt:variant>
      <vt:variant>
        <vt:i4>1460</vt:i4>
      </vt:variant>
      <vt:variant>
        <vt:i4>0</vt:i4>
      </vt:variant>
      <vt:variant>
        <vt:i4>5</vt:i4>
      </vt:variant>
      <vt:variant>
        <vt:lpwstr/>
      </vt:variant>
      <vt:variant>
        <vt:lpwstr>_Toc437961240</vt:lpwstr>
      </vt:variant>
      <vt:variant>
        <vt:i4>2031671</vt:i4>
      </vt:variant>
      <vt:variant>
        <vt:i4>1454</vt:i4>
      </vt:variant>
      <vt:variant>
        <vt:i4>0</vt:i4>
      </vt:variant>
      <vt:variant>
        <vt:i4>5</vt:i4>
      </vt:variant>
      <vt:variant>
        <vt:lpwstr/>
      </vt:variant>
      <vt:variant>
        <vt:lpwstr>_Toc437961239</vt:lpwstr>
      </vt:variant>
      <vt:variant>
        <vt:i4>2031671</vt:i4>
      </vt:variant>
      <vt:variant>
        <vt:i4>1445</vt:i4>
      </vt:variant>
      <vt:variant>
        <vt:i4>0</vt:i4>
      </vt:variant>
      <vt:variant>
        <vt:i4>5</vt:i4>
      </vt:variant>
      <vt:variant>
        <vt:lpwstr/>
      </vt:variant>
      <vt:variant>
        <vt:lpwstr>_Toc437961238</vt:lpwstr>
      </vt:variant>
      <vt:variant>
        <vt:i4>2031671</vt:i4>
      </vt:variant>
      <vt:variant>
        <vt:i4>1439</vt:i4>
      </vt:variant>
      <vt:variant>
        <vt:i4>0</vt:i4>
      </vt:variant>
      <vt:variant>
        <vt:i4>5</vt:i4>
      </vt:variant>
      <vt:variant>
        <vt:lpwstr/>
      </vt:variant>
      <vt:variant>
        <vt:lpwstr>_Toc437961237</vt:lpwstr>
      </vt:variant>
      <vt:variant>
        <vt:i4>2031671</vt:i4>
      </vt:variant>
      <vt:variant>
        <vt:i4>1433</vt:i4>
      </vt:variant>
      <vt:variant>
        <vt:i4>0</vt:i4>
      </vt:variant>
      <vt:variant>
        <vt:i4>5</vt:i4>
      </vt:variant>
      <vt:variant>
        <vt:lpwstr/>
      </vt:variant>
      <vt:variant>
        <vt:lpwstr>_Toc437961236</vt:lpwstr>
      </vt:variant>
      <vt:variant>
        <vt:i4>2031671</vt:i4>
      </vt:variant>
      <vt:variant>
        <vt:i4>1427</vt:i4>
      </vt:variant>
      <vt:variant>
        <vt:i4>0</vt:i4>
      </vt:variant>
      <vt:variant>
        <vt:i4>5</vt:i4>
      </vt:variant>
      <vt:variant>
        <vt:lpwstr/>
      </vt:variant>
      <vt:variant>
        <vt:lpwstr>_Toc437961235</vt:lpwstr>
      </vt:variant>
      <vt:variant>
        <vt:i4>2031671</vt:i4>
      </vt:variant>
      <vt:variant>
        <vt:i4>1421</vt:i4>
      </vt:variant>
      <vt:variant>
        <vt:i4>0</vt:i4>
      </vt:variant>
      <vt:variant>
        <vt:i4>5</vt:i4>
      </vt:variant>
      <vt:variant>
        <vt:lpwstr/>
      </vt:variant>
      <vt:variant>
        <vt:lpwstr>_Toc437961234</vt:lpwstr>
      </vt:variant>
      <vt:variant>
        <vt:i4>2031671</vt:i4>
      </vt:variant>
      <vt:variant>
        <vt:i4>1415</vt:i4>
      </vt:variant>
      <vt:variant>
        <vt:i4>0</vt:i4>
      </vt:variant>
      <vt:variant>
        <vt:i4>5</vt:i4>
      </vt:variant>
      <vt:variant>
        <vt:lpwstr/>
      </vt:variant>
      <vt:variant>
        <vt:lpwstr>_Toc437961233</vt:lpwstr>
      </vt:variant>
      <vt:variant>
        <vt:i4>2031671</vt:i4>
      </vt:variant>
      <vt:variant>
        <vt:i4>1409</vt:i4>
      </vt:variant>
      <vt:variant>
        <vt:i4>0</vt:i4>
      </vt:variant>
      <vt:variant>
        <vt:i4>5</vt:i4>
      </vt:variant>
      <vt:variant>
        <vt:lpwstr/>
      </vt:variant>
      <vt:variant>
        <vt:lpwstr>_Toc437961232</vt:lpwstr>
      </vt:variant>
      <vt:variant>
        <vt:i4>2031671</vt:i4>
      </vt:variant>
      <vt:variant>
        <vt:i4>1403</vt:i4>
      </vt:variant>
      <vt:variant>
        <vt:i4>0</vt:i4>
      </vt:variant>
      <vt:variant>
        <vt:i4>5</vt:i4>
      </vt:variant>
      <vt:variant>
        <vt:lpwstr/>
      </vt:variant>
      <vt:variant>
        <vt:lpwstr>_Toc437961231</vt:lpwstr>
      </vt:variant>
      <vt:variant>
        <vt:i4>2031671</vt:i4>
      </vt:variant>
      <vt:variant>
        <vt:i4>1397</vt:i4>
      </vt:variant>
      <vt:variant>
        <vt:i4>0</vt:i4>
      </vt:variant>
      <vt:variant>
        <vt:i4>5</vt:i4>
      </vt:variant>
      <vt:variant>
        <vt:lpwstr/>
      </vt:variant>
      <vt:variant>
        <vt:lpwstr>_Toc437961230</vt:lpwstr>
      </vt:variant>
      <vt:variant>
        <vt:i4>1966135</vt:i4>
      </vt:variant>
      <vt:variant>
        <vt:i4>1391</vt:i4>
      </vt:variant>
      <vt:variant>
        <vt:i4>0</vt:i4>
      </vt:variant>
      <vt:variant>
        <vt:i4>5</vt:i4>
      </vt:variant>
      <vt:variant>
        <vt:lpwstr/>
      </vt:variant>
      <vt:variant>
        <vt:lpwstr>_Toc437961229</vt:lpwstr>
      </vt:variant>
      <vt:variant>
        <vt:i4>1966135</vt:i4>
      </vt:variant>
      <vt:variant>
        <vt:i4>1385</vt:i4>
      </vt:variant>
      <vt:variant>
        <vt:i4>0</vt:i4>
      </vt:variant>
      <vt:variant>
        <vt:i4>5</vt:i4>
      </vt:variant>
      <vt:variant>
        <vt:lpwstr/>
      </vt:variant>
      <vt:variant>
        <vt:lpwstr>_Toc437961228</vt:lpwstr>
      </vt:variant>
      <vt:variant>
        <vt:i4>1966135</vt:i4>
      </vt:variant>
      <vt:variant>
        <vt:i4>1379</vt:i4>
      </vt:variant>
      <vt:variant>
        <vt:i4>0</vt:i4>
      </vt:variant>
      <vt:variant>
        <vt:i4>5</vt:i4>
      </vt:variant>
      <vt:variant>
        <vt:lpwstr/>
      </vt:variant>
      <vt:variant>
        <vt:lpwstr>_Toc437961227</vt:lpwstr>
      </vt:variant>
      <vt:variant>
        <vt:i4>1966135</vt:i4>
      </vt:variant>
      <vt:variant>
        <vt:i4>1373</vt:i4>
      </vt:variant>
      <vt:variant>
        <vt:i4>0</vt:i4>
      </vt:variant>
      <vt:variant>
        <vt:i4>5</vt:i4>
      </vt:variant>
      <vt:variant>
        <vt:lpwstr/>
      </vt:variant>
      <vt:variant>
        <vt:lpwstr>_Toc437961226</vt:lpwstr>
      </vt:variant>
      <vt:variant>
        <vt:i4>1966135</vt:i4>
      </vt:variant>
      <vt:variant>
        <vt:i4>1367</vt:i4>
      </vt:variant>
      <vt:variant>
        <vt:i4>0</vt:i4>
      </vt:variant>
      <vt:variant>
        <vt:i4>5</vt:i4>
      </vt:variant>
      <vt:variant>
        <vt:lpwstr/>
      </vt:variant>
      <vt:variant>
        <vt:lpwstr>_Toc437961225</vt:lpwstr>
      </vt:variant>
      <vt:variant>
        <vt:i4>1966135</vt:i4>
      </vt:variant>
      <vt:variant>
        <vt:i4>1361</vt:i4>
      </vt:variant>
      <vt:variant>
        <vt:i4>0</vt:i4>
      </vt:variant>
      <vt:variant>
        <vt:i4>5</vt:i4>
      </vt:variant>
      <vt:variant>
        <vt:lpwstr/>
      </vt:variant>
      <vt:variant>
        <vt:lpwstr>_Toc437961224</vt:lpwstr>
      </vt:variant>
      <vt:variant>
        <vt:i4>1966135</vt:i4>
      </vt:variant>
      <vt:variant>
        <vt:i4>1355</vt:i4>
      </vt:variant>
      <vt:variant>
        <vt:i4>0</vt:i4>
      </vt:variant>
      <vt:variant>
        <vt:i4>5</vt:i4>
      </vt:variant>
      <vt:variant>
        <vt:lpwstr/>
      </vt:variant>
      <vt:variant>
        <vt:lpwstr>_Toc437961223</vt:lpwstr>
      </vt:variant>
      <vt:variant>
        <vt:i4>1966135</vt:i4>
      </vt:variant>
      <vt:variant>
        <vt:i4>1349</vt:i4>
      </vt:variant>
      <vt:variant>
        <vt:i4>0</vt:i4>
      </vt:variant>
      <vt:variant>
        <vt:i4>5</vt:i4>
      </vt:variant>
      <vt:variant>
        <vt:lpwstr/>
      </vt:variant>
      <vt:variant>
        <vt:lpwstr>_Toc437961222</vt:lpwstr>
      </vt:variant>
      <vt:variant>
        <vt:i4>1966135</vt:i4>
      </vt:variant>
      <vt:variant>
        <vt:i4>1343</vt:i4>
      </vt:variant>
      <vt:variant>
        <vt:i4>0</vt:i4>
      </vt:variant>
      <vt:variant>
        <vt:i4>5</vt:i4>
      </vt:variant>
      <vt:variant>
        <vt:lpwstr/>
      </vt:variant>
      <vt:variant>
        <vt:lpwstr>_Toc437961221</vt:lpwstr>
      </vt:variant>
      <vt:variant>
        <vt:i4>1966135</vt:i4>
      </vt:variant>
      <vt:variant>
        <vt:i4>1337</vt:i4>
      </vt:variant>
      <vt:variant>
        <vt:i4>0</vt:i4>
      </vt:variant>
      <vt:variant>
        <vt:i4>5</vt:i4>
      </vt:variant>
      <vt:variant>
        <vt:lpwstr/>
      </vt:variant>
      <vt:variant>
        <vt:lpwstr>_Toc437961220</vt:lpwstr>
      </vt:variant>
      <vt:variant>
        <vt:i4>1900599</vt:i4>
      </vt:variant>
      <vt:variant>
        <vt:i4>1331</vt:i4>
      </vt:variant>
      <vt:variant>
        <vt:i4>0</vt:i4>
      </vt:variant>
      <vt:variant>
        <vt:i4>5</vt:i4>
      </vt:variant>
      <vt:variant>
        <vt:lpwstr/>
      </vt:variant>
      <vt:variant>
        <vt:lpwstr>_Toc437961219</vt:lpwstr>
      </vt:variant>
      <vt:variant>
        <vt:i4>1900599</vt:i4>
      </vt:variant>
      <vt:variant>
        <vt:i4>1325</vt:i4>
      </vt:variant>
      <vt:variant>
        <vt:i4>0</vt:i4>
      </vt:variant>
      <vt:variant>
        <vt:i4>5</vt:i4>
      </vt:variant>
      <vt:variant>
        <vt:lpwstr/>
      </vt:variant>
      <vt:variant>
        <vt:lpwstr>_Toc437961218</vt:lpwstr>
      </vt:variant>
      <vt:variant>
        <vt:i4>1900599</vt:i4>
      </vt:variant>
      <vt:variant>
        <vt:i4>1319</vt:i4>
      </vt:variant>
      <vt:variant>
        <vt:i4>0</vt:i4>
      </vt:variant>
      <vt:variant>
        <vt:i4>5</vt:i4>
      </vt:variant>
      <vt:variant>
        <vt:lpwstr/>
      </vt:variant>
      <vt:variant>
        <vt:lpwstr>_Toc437961217</vt:lpwstr>
      </vt:variant>
      <vt:variant>
        <vt:i4>1900599</vt:i4>
      </vt:variant>
      <vt:variant>
        <vt:i4>1313</vt:i4>
      </vt:variant>
      <vt:variant>
        <vt:i4>0</vt:i4>
      </vt:variant>
      <vt:variant>
        <vt:i4>5</vt:i4>
      </vt:variant>
      <vt:variant>
        <vt:lpwstr/>
      </vt:variant>
      <vt:variant>
        <vt:lpwstr>_Toc437961216</vt:lpwstr>
      </vt:variant>
      <vt:variant>
        <vt:i4>1900599</vt:i4>
      </vt:variant>
      <vt:variant>
        <vt:i4>1307</vt:i4>
      </vt:variant>
      <vt:variant>
        <vt:i4>0</vt:i4>
      </vt:variant>
      <vt:variant>
        <vt:i4>5</vt:i4>
      </vt:variant>
      <vt:variant>
        <vt:lpwstr/>
      </vt:variant>
      <vt:variant>
        <vt:lpwstr>_Toc437961215</vt:lpwstr>
      </vt:variant>
      <vt:variant>
        <vt:i4>1900599</vt:i4>
      </vt:variant>
      <vt:variant>
        <vt:i4>1301</vt:i4>
      </vt:variant>
      <vt:variant>
        <vt:i4>0</vt:i4>
      </vt:variant>
      <vt:variant>
        <vt:i4>5</vt:i4>
      </vt:variant>
      <vt:variant>
        <vt:lpwstr/>
      </vt:variant>
      <vt:variant>
        <vt:lpwstr>_Toc437961214</vt:lpwstr>
      </vt:variant>
      <vt:variant>
        <vt:i4>1900599</vt:i4>
      </vt:variant>
      <vt:variant>
        <vt:i4>1295</vt:i4>
      </vt:variant>
      <vt:variant>
        <vt:i4>0</vt:i4>
      </vt:variant>
      <vt:variant>
        <vt:i4>5</vt:i4>
      </vt:variant>
      <vt:variant>
        <vt:lpwstr/>
      </vt:variant>
      <vt:variant>
        <vt:lpwstr>_Toc437961213</vt:lpwstr>
      </vt:variant>
      <vt:variant>
        <vt:i4>1900599</vt:i4>
      </vt:variant>
      <vt:variant>
        <vt:i4>1289</vt:i4>
      </vt:variant>
      <vt:variant>
        <vt:i4>0</vt:i4>
      </vt:variant>
      <vt:variant>
        <vt:i4>5</vt:i4>
      </vt:variant>
      <vt:variant>
        <vt:lpwstr/>
      </vt:variant>
      <vt:variant>
        <vt:lpwstr>_Toc437961212</vt:lpwstr>
      </vt:variant>
      <vt:variant>
        <vt:i4>1900599</vt:i4>
      </vt:variant>
      <vt:variant>
        <vt:i4>1283</vt:i4>
      </vt:variant>
      <vt:variant>
        <vt:i4>0</vt:i4>
      </vt:variant>
      <vt:variant>
        <vt:i4>5</vt:i4>
      </vt:variant>
      <vt:variant>
        <vt:lpwstr/>
      </vt:variant>
      <vt:variant>
        <vt:lpwstr>_Toc437961211</vt:lpwstr>
      </vt:variant>
      <vt:variant>
        <vt:i4>1900599</vt:i4>
      </vt:variant>
      <vt:variant>
        <vt:i4>1277</vt:i4>
      </vt:variant>
      <vt:variant>
        <vt:i4>0</vt:i4>
      </vt:variant>
      <vt:variant>
        <vt:i4>5</vt:i4>
      </vt:variant>
      <vt:variant>
        <vt:lpwstr/>
      </vt:variant>
      <vt:variant>
        <vt:lpwstr>_Toc437961210</vt:lpwstr>
      </vt:variant>
      <vt:variant>
        <vt:i4>1835063</vt:i4>
      </vt:variant>
      <vt:variant>
        <vt:i4>1271</vt:i4>
      </vt:variant>
      <vt:variant>
        <vt:i4>0</vt:i4>
      </vt:variant>
      <vt:variant>
        <vt:i4>5</vt:i4>
      </vt:variant>
      <vt:variant>
        <vt:lpwstr/>
      </vt:variant>
      <vt:variant>
        <vt:lpwstr>_Toc437961209</vt:lpwstr>
      </vt:variant>
      <vt:variant>
        <vt:i4>1835063</vt:i4>
      </vt:variant>
      <vt:variant>
        <vt:i4>1265</vt:i4>
      </vt:variant>
      <vt:variant>
        <vt:i4>0</vt:i4>
      </vt:variant>
      <vt:variant>
        <vt:i4>5</vt:i4>
      </vt:variant>
      <vt:variant>
        <vt:lpwstr/>
      </vt:variant>
      <vt:variant>
        <vt:lpwstr>_Toc437961208</vt:lpwstr>
      </vt:variant>
      <vt:variant>
        <vt:i4>1835063</vt:i4>
      </vt:variant>
      <vt:variant>
        <vt:i4>1259</vt:i4>
      </vt:variant>
      <vt:variant>
        <vt:i4>0</vt:i4>
      </vt:variant>
      <vt:variant>
        <vt:i4>5</vt:i4>
      </vt:variant>
      <vt:variant>
        <vt:lpwstr/>
      </vt:variant>
      <vt:variant>
        <vt:lpwstr>_Toc437961207</vt:lpwstr>
      </vt:variant>
      <vt:variant>
        <vt:i4>1835063</vt:i4>
      </vt:variant>
      <vt:variant>
        <vt:i4>1253</vt:i4>
      </vt:variant>
      <vt:variant>
        <vt:i4>0</vt:i4>
      </vt:variant>
      <vt:variant>
        <vt:i4>5</vt:i4>
      </vt:variant>
      <vt:variant>
        <vt:lpwstr/>
      </vt:variant>
      <vt:variant>
        <vt:lpwstr>_Toc437961206</vt:lpwstr>
      </vt:variant>
      <vt:variant>
        <vt:i4>1835063</vt:i4>
      </vt:variant>
      <vt:variant>
        <vt:i4>1247</vt:i4>
      </vt:variant>
      <vt:variant>
        <vt:i4>0</vt:i4>
      </vt:variant>
      <vt:variant>
        <vt:i4>5</vt:i4>
      </vt:variant>
      <vt:variant>
        <vt:lpwstr/>
      </vt:variant>
      <vt:variant>
        <vt:lpwstr>_Toc437961205</vt:lpwstr>
      </vt:variant>
      <vt:variant>
        <vt:i4>1835063</vt:i4>
      </vt:variant>
      <vt:variant>
        <vt:i4>1241</vt:i4>
      </vt:variant>
      <vt:variant>
        <vt:i4>0</vt:i4>
      </vt:variant>
      <vt:variant>
        <vt:i4>5</vt:i4>
      </vt:variant>
      <vt:variant>
        <vt:lpwstr/>
      </vt:variant>
      <vt:variant>
        <vt:lpwstr>_Toc437961204</vt:lpwstr>
      </vt:variant>
      <vt:variant>
        <vt:i4>1835063</vt:i4>
      </vt:variant>
      <vt:variant>
        <vt:i4>1235</vt:i4>
      </vt:variant>
      <vt:variant>
        <vt:i4>0</vt:i4>
      </vt:variant>
      <vt:variant>
        <vt:i4>5</vt:i4>
      </vt:variant>
      <vt:variant>
        <vt:lpwstr/>
      </vt:variant>
      <vt:variant>
        <vt:lpwstr>_Toc437961203</vt:lpwstr>
      </vt:variant>
      <vt:variant>
        <vt:i4>1835063</vt:i4>
      </vt:variant>
      <vt:variant>
        <vt:i4>1229</vt:i4>
      </vt:variant>
      <vt:variant>
        <vt:i4>0</vt:i4>
      </vt:variant>
      <vt:variant>
        <vt:i4>5</vt:i4>
      </vt:variant>
      <vt:variant>
        <vt:lpwstr/>
      </vt:variant>
      <vt:variant>
        <vt:lpwstr>_Toc437961202</vt:lpwstr>
      </vt:variant>
      <vt:variant>
        <vt:i4>1835063</vt:i4>
      </vt:variant>
      <vt:variant>
        <vt:i4>1223</vt:i4>
      </vt:variant>
      <vt:variant>
        <vt:i4>0</vt:i4>
      </vt:variant>
      <vt:variant>
        <vt:i4>5</vt:i4>
      </vt:variant>
      <vt:variant>
        <vt:lpwstr/>
      </vt:variant>
      <vt:variant>
        <vt:lpwstr>_Toc437961201</vt:lpwstr>
      </vt:variant>
      <vt:variant>
        <vt:i4>1835063</vt:i4>
      </vt:variant>
      <vt:variant>
        <vt:i4>1217</vt:i4>
      </vt:variant>
      <vt:variant>
        <vt:i4>0</vt:i4>
      </vt:variant>
      <vt:variant>
        <vt:i4>5</vt:i4>
      </vt:variant>
      <vt:variant>
        <vt:lpwstr/>
      </vt:variant>
      <vt:variant>
        <vt:lpwstr>_Toc437961200</vt:lpwstr>
      </vt:variant>
      <vt:variant>
        <vt:i4>1376308</vt:i4>
      </vt:variant>
      <vt:variant>
        <vt:i4>1211</vt:i4>
      </vt:variant>
      <vt:variant>
        <vt:i4>0</vt:i4>
      </vt:variant>
      <vt:variant>
        <vt:i4>5</vt:i4>
      </vt:variant>
      <vt:variant>
        <vt:lpwstr/>
      </vt:variant>
      <vt:variant>
        <vt:lpwstr>_Toc437961199</vt:lpwstr>
      </vt:variant>
      <vt:variant>
        <vt:i4>1376308</vt:i4>
      </vt:variant>
      <vt:variant>
        <vt:i4>1205</vt:i4>
      </vt:variant>
      <vt:variant>
        <vt:i4>0</vt:i4>
      </vt:variant>
      <vt:variant>
        <vt:i4>5</vt:i4>
      </vt:variant>
      <vt:variant>
        <vt:lpwstr/>
      </vt:variant>
      <vt:variant>
        <vt:lpwstr>_Toc437961198</vt:lpwstr>
      </vt:variant>
      <vt:variant>
        <vt:i4>1638455</vt:i4>
      </vt:variant>
      <vt:variant>
        <vt:i4>1196</vt:i4>
      </vt:variant>
      <vt:variant>
        <vt:i4>0</vt:i4>
      </vt:variant>
      <vt:variant>
        <vt:i4>5</vt:i4>
      </vt:variant>
      <vt:variant>
        <vt:lpwstr/>
      </vt:variant>
      <vt:variant>
        <vt:lpwstr>_Toc437966221</vt:lpwstr>
      </vt:variant>
      <vt:variant>
        <vt:i4>1638455</vt:i4>
      </vt:variant>
      <vt:variant>
        <vt:i4>1190</vt:i4>
      </vt:variant>
      <vt:variant>
        <vt:i4>0</vt:i4>
      </vt:variant>
      <vt:variant>
        <vt:i4>5</vt:i4>
      </vt:variant>
      <vt:variant>
        <vt:lpwstr/>
      </vt:variant>
      <vt:variant>
        <vt:lpwstr>_Toc437966220</vt:lpwstr>
      </vt:variant>
      <vt:variant>
        <vt:i4>1703991</vt:i4>
      </vt:variant>
      <vt:variant>
        <vt:i4>1184</vt:i4>
      </vt:variant>
      <vt:variant>
        <vt:i4>0</vt:i4>
      </vt:variant>
      <vt:variant>
        <vt:i4>5</vt:i4>
      </vt:variant>
      <vt:variant>
        <vt:lpwstr/>
      </vt:variant>
      <vt:variant>
        <vt:lpwstr>_Toc437966219</vt:lpwstr>
      </vt:variant>
      <vt:variant>
        <vt:i4>1703991</vt:i4>
      </vt:variant>
      <vt:variant>
        <vt:i4>1178</vt:i4>
      </vt:variant>
      <vt:variant>
        <vt:i4>0</vt:i4>
      </vt:variant>
      <vt:variant>
        <vt:i4>5</vt:i4>
      </vt:variant>
      <vt:variant>
        <vt:lpwstr/>
      </vt:variant>
      <vt:variant>
        <vt:lpwstr>_Toc437966218</vt:lpwstr>
      </vt:variant>
      <vt:variant>
        <vt:i4>1703991</vt:i4>
      </vt:variant>
      <vt:variant>
        <vt:i4>1172</vt:i4>
      </vt:variant>
      <vt:variant>
        <vt:i4>0</vt:i4>
      </vt:variant>
      <vt:variant>
        <vt:i4>5</vt:i4>
      </vt:variant>
      <vt:variant>
        <vt:lpwstr/>
      </vt:variant>
      <vt:variant>
        <vt:lpwstr>_Toc437966217</vt:lpwstr>
      </vt:variant>
      <vt:variant>
        <vt:i4>1703991</vt:i4>
      </vt:variant>
      <vt:variant>
        <vt:i4>1166</vt:i4>
      </vt:variant>
      <vt:variant>
        <vt:i4>0</vt:i4>
      </vt:variant>
      <vt:variant>
        <vt:i4>5</vt:i4>
      </vt:variant>
      <vt:variant>
        <vt:lpwstr/>
      </vt:variant>
      <vt:variant>
        <vt:lpwstr>_Toc437966216</vt:lpwstr>
      </vt:variant>
      <vt:variant>
        <vt:i4>1703991</vt:i4>
      </vt:variant>
      <vt:variant>
        <vt:i4>1160</vt:i4>
      </vt:variant>
      <vt:variant>
        <vt:i4>0</vt:i4>
      </vt:variant>
      <vt:variant>
        <vt:i4>5</vt:i4>
      </vt:variant>
      <vt:variant>
        <vt:lpwstr/>
      </vt:variant>
      <vt:variant>
        <vt:lpwstr>_Toc437966215</vt:lpwstr>
      </vt:variant>
      <vt:variant>
        <vt:i4>1703991</vt:i4>
      </vt:variant>
      <vt:variant>
        <vt:i4>1154</vt:i4>
      </vt:variant>
      <vt:variant>
        <vt:i4>0</vt:i4>
      </vt:variant>
      <vt:variant>
        <vt:i4>5</vt:i4>
      </vt:variant>
      <vt:variant>
        <vt:lpwstr/>
      </vt:variant>
      <vt:variant>
        <vt:lpwstr>_Toc437966214</vt:lpwstr>
      </vt:variant>
      <vt:variant>
        <vt:i4>1703991</vt:i4>
      </vt:variant>
      <vt:variant>
        <vt:i4>1148</vt:i4>
      </vt:variant>
      <vt:variant>
        <vt:i4>0</vt:i4>
      </vt:variant>
      <vt:variant>
        <vt:i4>5</vt:i4>
      </vt:variant>
      <vt:variant>
        <vt:lpwstr/>
      </vt:variant>
      <vt:variant>
        <vt:lpwstr>_Toc437966213</vt:lpwstr>
      </vt:variant>
      <vt:variant>
        <vt:i4>1703991</vt:i4>
      </vt:variant>
      <vt:variant>
        <vt:i4>1142</vt:i4>
      </vt:variant>
      <vt:variant>
        <vt:i4>0</vt:i4>
      </vt:variant>
      <vt:variant>
        <vt:i4>5</vt:i4>
      </vt:variant>
      <vt:variant>
        <vt:lpwstr/>
      </vt:variant>
      <vt:variant>
        <vt:lpwstr>_Toc437966212</vt:lpwstr>
      </vt:variant>
      <vt:variant>
        <vt:i4>1703991</vt:i4>
      </vt:variant>
      <vt:variant>
        <vt:i4>1136</vt:i4>
      </vt:variant>
      <vt:variant>
        <vt:i4>0</vt:i4>
      </vt:variant>
      <vt:variant>
        <vt:i4>5</vt:i4>
      </vt:variant>
      <vt:variant>
        <vt:lpwstr/>
      </vt:variant>
      <vt:variant>
        <vt:lpwstr>_Toc437966211</vt:lpwstr>
      </vt:variant>
      <vt:variant>
        <vt:i4>1703991</vt:i4>
      </vt:variant>
      <vt:variant>
        <vt:i4>1130</vt:i4>
      </vt:variant>
      <vt:variant>
        <vt:i4>0</vt:i4>
      </vt:variant>
      <vt:variant>
        <vt:i4>5</vt:i4>
      </vt:variant>
      <vt:variant>
        <vt:lpwstr/>
      </vt:variant>
      <vt:variant>
        <vt:lpwstr>_Toc437966210</vt:lpwstr>
      </vt:variant>
      <vt:variant>
        <vt:i4>1769527</vt:i4>
      </vt:variant>
      <vt:variant>
        <vt:i4>1124</vt:i4>
      </vt:variant>
      <vt:variant>
        <vt:i4>0</vt:i4>
      </vt:variant>
      <vt:variant>
        <vt:i4>5</vt:i4>
      </vt:variant>
      <vt:variant>
        <vt:lpwstr/>
      </vt:variant>
      <vt:variant>
        <vt:lpwstr>_Toc437966209</vt:lpwstr>
      </vt:variant>
      <vt:variant>
        <vt:i4>1769527</vt:i4>
      </vt:variant>
      <vt:variant>
        <vt:i4>1118</vt:i4>
      </vt:variant>
      <vt:variant>
        <vt:i4>0</vt:i4>
      </vt:variant>
      <vt:variant>
        <vt:i4>5</vt:i4>
      </vt:variant>
      <vt:variant>
        <vt:lpwstr/>
      </vt:variant>
      <vt:variant>
        <vt:lpwstr>_Toc437966208</vt:lpwstr>
      </vt:variant>
      <vt:variant>
        <vt:i4>1769527</vt:i4>
      </vt:variant>
      <vt:variant>
        <vt:i4>1112</vt:i4>
      </vt:variant>
      <vt:variant>
        <vt:i4>0</vt:i4>
      </vt:variant>
      <vt:variant>
        <vt:i4>5</vt:i4>
      </vt:variant>
      <vt:variant>
        <vt:lpwstr/>
      </vt:variant>
      <vt:variant>
        <vt:lpwstr>_Toc437966207</vt:lpwstr>
      </vt:variant>
      <vt:variant>
        <vt:i4>1769527</vt:i4>
      </vt:variant>
      <vt:variant>
        <vt:i4>1106</vt:i4>
      </vt:variant>
      <vt:variant>
        <vt:i4>0</vt:i4>
      </vt:variant>
      <vt:variant>
        <vt:i4>5</vt:i4>
      </vt:variant>
      <vt:variant>
        <vt:lpwstr/>
      </vt:variant>
      <vt:variant>
        <vt:lpwstr>_Toc437966206</vt:lpwstr>
      </vt:variant>
      <vt:variant>
        <vt:i4>1769527</vt:i4>
      </vt:variant>
      <vt:variant>
        <vt:i4>1100</vt:i4>
      </vt:variant>
      <vt:variant>
        <vt:i4>0</vt:i4>
      </vt:variant>
      <vt:variant>
        <vt:i4>5</vt:i4>
      </vt:variant>
      <vt:variant>
        <vt:lpwstr/>
      </vt:variant>
      <vt:variant>
        <vt:lpwstr>_Toc437966205</vt:lpwstr>
      </vt:variant>
      <vt:variant>
        <vt:i4>1769527</vt:i4>
      </vt:variant>
      <vt:variant>
        <vt:i4>1094</vt:i4>
      </vt:variant>
      <vt:variant>
        <vt:i4>0</vt:i4>
      </vt:variant>
      <vt:variant>
        <vt:i4>5</vt:i4>
      </vt:variant>
      <vt:variant>
        <vt:lpwstr/>
      </vt:variant>
      <vt:variant>
        <vt:lpwstr>_Toc437966204</vt:lpwstr>
      </vt:variant>
      <vt:variant>
        <vt:i4>1769527</vt:i4>
      </vt:variant>
      <vt:variant>
        <vt:i4>1088</vt:i4>
      </vt:variant>
      <vt:variant>
        <vt:i4>0</vt:i4>
      </vt:variant>
      <vt:variant>
        <vt:i4>5</vt:i4>
      </vt:variant>
      <vt:variant>
        <vt:lpwstr/>
      </vt:variant>
      <vt:variant>
        <vt:lpwstr>_Toc437966203</vt:lpwstr>
      </vt:variant>
      <vt:variant>
        <vt:i4>1769527</vt:i4>
      </vt:variant>
      <vt:variant>
        <vt:i4>1082</vt:i4>
      </vt:variant>
      <vt:variant>
        <vt:i4>0</vt:i4>
      </vt:variant>
      <vt:variant>
        <vt:i4>5</vt:i4>
      </vt:variant>
      <vt:variant>
        <vt:lpwstr/>
      </vt:variant>
      <vt:variant>
        <vt:lpwstr>_Toc437966202</vt:lpwstr>
      </vt:variant>
      <vt:variant>
        <vt:i4>1769527</vt:i4>
      </vt:variant>
      <vt:variant>
        <vt:i4>1076</vt:i4>
      </vt:variant>
      <vt:variant>
        <vt:i4>0</vt:i4>
      </vt:variant>
      <vt:variant>
        <vt:i4>5</vt:i4>
      </vt:variant>
      <vt:variant>
        <vt:lpwstr/>
      </vt:variant>
      <vt:variant>
        <vt:lpwstr>_Toc437966201</vt:lpwstr>
      </vt:variant>
      <vt:variant>
        <vt:i4>1769527</vt:i4>
      </vt:variant>
      <vt:variant>
        <vt:i4>1070</vt:i4>
      </vt:variant>
      <vt:variant>
        <vt:i4>0</vt:i4>
      </vt:variant>
      <vt:variant>
        <vt:i4>5</vt:i4>
      </vt:variant>
      <vt:variant>
        <vt:lpwstr/>
      </vt:variant>
      <vt:variant>
        <vt:lpwstr>_Toc437966200</vt:lpwstr>
      </vt:variant>
      <vt:variant>
        <vt:i4>1179700</vt:i4>
      </vt:variant>
      <vt:variant>
        <vt:i4>1064</vt:i4>
      </vt:variant>
      <vt:variant>
        <vt:i4>0</vt:i4>
      </vt:variant>
      <vt:variant>
        <vt:i4>5</vt:i4>
      </vt:variant>
      <vt:variant>
        <vt:lpwstr/>
      </vt:variant>
      <vt:variant>
        <vt:lpwstr>_Toc437966199</vt:lpwstr>
      </vt:variant>
      <vt:variant>
        <vt:i4>1179700</vt:i4>
      </vt:variant>
      <vt:variant>
        <vt:i4>1058</vt:i4>
      </vt:variant>
      <vt:variant>
        <vt:i4>0</vt:i4>
      </vt:variant>
      <vt:variant>
        <vt:i4>5</vt:i4>
      </vt:variant>
      <vt:variant>
        <vt:lpwstr/>
      </vt:variant>
      <vt:variant>
        <vt:lpwstr>_Toc437966198</vt:lpwstr>
      </vt:variant>
      <vt:variant>
        <vt:i4>1179700</vt:i4>
      </vt:variant>
      <vt:variant>
        <vt:i4>1052</vt:i4>
      </vt:variant>
      <vt:variant>
        <vt:i4>0</vt:i4>
      </vt:variant>
      <vt:variant>
        <vt:i4>5</vt:i4>
      </vt:variant>
      <vt:variant>
        <vt:lpwstr/>
      </vt:variant>
      <vt:variant>
        <vt:lpwstr>_Toc437966197</vt:lpwstr>
      </vt:variant>
      <vt:variant>
        <vt:i4>1179700</vt:i4>
      </vt:variant>
      <vt:variant>
        <vt:i4>1046</vt:i4>
      </vt:variant>
      <vt:variant>
        <vt:i4>0</vt:i4>
      </vt:variant>
      <vt:variant>
        <vt:i4>5</vt:i4>
      </vt:variant>
      <vt:variant>
        <vt:lpwstr/>
      </vt:variant>
      <vt:variant>
        <vt:lpwstr>_Toc437966196</vt:lpwstr>
      </vt:variant>
      <vt:variant>
        <vt:i4>1179700</vt:i4>
      </vt:variant>
      <vt:variant>
        <vt:i4>1040</vt:i4>
      </vt:variant>
      <vt:variant>
        <vt:i4>0</vt:i4>
      </vt:variant>
      <vt:variant>
        <vt:i4>5</vt:i4>
      </vt:variant>
      <vt:variant>
        <vt:lpwstr/>
      </vt:variant>
      <vt:variant>
        <vt:lpwstr>_Toc437966195</vt:lpwstr>
      </vt:variant>
      <vt:variant>
        <vt:i4>1179700</vt:i4>
      </vt:variant>
      <vt:variant>
        <vt:i4>1034</vt:i4>
      </vt:variant>
      <vt:variant>
        <vt:i4>0</vt:i4>
      </vt:variant>
      <vt:variant>
        <vt:i4>5</vt:i4>
      </vt:variant>
      <vt:variant>
        <vt:lpwstr/>
      </vt:variant>
      <vt:variant>
        <vt:lpwstr>_Toc437966194</vt:lpwstr>
      </vt:variant>
      <vt:variant>
        <vt:i4>1179700</vt:i4>
      </vt:variant>
      <vt:variant>
        <vt:i4>1028</vt:i4>
      </vt:variant>
      <vt:variant>
        <vt:i4>0</vt:i4>
      </vt:variant>
      <vt:variant>
        <vt:i4>5</vt:i4>
      </vt:variant>
      <vt:variant>
        <vt:lpwstr/>
      </vt:variant>
      <vt:variant>
        <vt:lpwstr>_Toc437966193</vt:lpwstr>
      </vt:variant>
      <vt:variant>
        <vt:i4>1179700</vt:i4>
      </vt:variant>
      <vt:variant>
        <vt:i4>1022</vt:i4>
      </vt:variant>
      <vt:variant>
        <vt:i4>0</vt:i4>
      </vt:variant>
      <vt:variant>
        <vt:i4>5</vt:i4>
      </vt:variant>
      <vt:variant>
        <vt:lpwstr/>
      </vt:variant>
      <vt:variant>
        <vt:lpwstr>_Toc437966192</vt:lpwstr>
      </vt:variant>
      <vt:variant>
        <vt:i4>1179700</vt:i4>
      </vt:variant>
      <vt:variant>
        <vt:i4>1016</vt:i4>
      </vt:variant>
      <vt:variant>
        <vt:i4>0</vt:i4>
      </vt:variant>
      <vt:variant>
        <vt:i4>5</vt:i4>
      </vt:variant>
      <vt:variant>
        <vt:lpwstr/>
      </vt:variant>
      <vt:variant>
        <vt:lpwstr>_Toc437966191</vt:lpwstr>
      </vt:variant>
      <vt:variant>
        <vt:i4>1179700</vt:i4>
      </vt:variant>
      <vt:variant>
        <vt:i4>1010</vt:i4>
      </vt:variant>
      <vt:variant>
        <vt:i4>0</vt:i4>
      </vt:variant>
      <vt:variant>
        <vt:i4>5</vt:i4>
      </vt:variant>
      <vt:variant>
        <vt:lpwstr/>
      </vt:variant>
      <vt:variant>
        <vt:lpwstr>_Toc437966190</vt:lpwstr>
      </vt:variant>
      <vt:variant>
        <vt:i4>1245236</vt:i4>
      </vt:variant>
      <vt:variant>
        <vt:i4>1004</vt:i4>
      </vt:variant>
      <vt:variant>
        <vt:i4>0</vt:i4>
      </vt:variant>
      <vt:variant>
        <vt:i4>5</vt:i4>
      </vt:variant>
      <vt:variant>
        <vt:lpwstr/>
      </vt:variant>
      <vt:variant>
        <vt:lpwstr>_Toc437966189</vt:lpwstr>
      </vt:variant>
      <vt:variant>
        <vt:i4>1245236</vt:i4>
      </vt:variant>
      <vt:variant>
        <vt:i4>998</vt:i4>
      </vt:variant>
      <vt:variant>
        <vt:i4>0</vt:i4>
      </vt:variant>
      <vt:variant>
        <vt:i4>5</vt:i4>
      </vt:variant>
      <vt:variant>
        <vt:lpwstr/>
      </vt:variant>
      <vt:variant>
        <vt:lpwstr>_Toc437966188</vt:lpwstr>
      </vt:variant>
      <vt:variant>
        <vt:i4>1245236</vt:i4>
      </vt:variant>
      <vt:variant>
        <vt:i4>992</vt:i4>
      </vt:variant>
      <vt:variant>
        <vt:i4>0</vt:i4>
      </vt:variant>
      <vt:variant>
        <vt:i4>5</vt:i4>
      </vt:variant>
      <vt:variant>
        <vt:lpwstr/>
      </vt:variant>
      <vt:variant>
        <vt:lpwstr>_Toc437966187</vt:lpwstr>
      </vt:variant>
      <vt:variant>
        <vt:i4>1245236</vt:i4>
      </vt:variant>
      <vt:variant>
        <vt:i4>986</vt:i4>
      </vt:variant>
      <vt:variant>
        <vt:i4>0</vt:i4>
      </vt:variant>
      <vt:variant>
        <vt:i4>5</vt:i4>
      </vt:variant>
      <vt:variant>
        <vt:lpwstr/>
      </vt:variant>
      <vt:variant>
        <vt:lpwstr>_Toc437966186</vt:lpwstr>
      </vt:variant>
      <vt:variant>
        <vt:i4>1245236</vt:i4>
      </vt:variant>
      <vt:variant>
        <vt:i4>980</vt:i4>
      </vt:variant>
      <vt:variant>
        <vt:i4>0</vt:i4>
      </vt:variant>
      <vt:variant>
        <vt:i4>5</vt:i4>
      </vt:variant>
      <vt:variant>
        <vt:lpwstr/>
      </vt:variant>
      <vt:variant>
        <vt:lpwstr>_Toc437966185</vt:lpwstr>
      </vt:variant>
      <vt:variant>
        <vt:i4>1245236</vt:i4>
      </vt:variant>
      <vt:variant>
        <vt:i4>974</vt:i4>
      </vt:variant>
      <vt:variant>
        <vt:i4>0</vt:i4>
      </vt:variant>
      <vt:variant>
        <vt:i4>5</vt:i4>
      </vt:variant>
      <vt:variant>
        <vt:lpwstr/>
      </vt:variant>
      <vt:variant>
        <vt:lpwstr>_Toc437966184</vt:lpwstr>
      </vt:variant>
      <vt:variant>
        <vt:i4>1245236</vt:i4>
      </vt:variant>
      <vt:variant>
        <vt:i4>968</vt:i4>
      </vt:variant>
      <vt:variant>
        <vt:i4>0</vt:i4>
      </vt:variant>
      <vt:variant>
        <vt:i4>5</vt:i4>
      </vt:variant>
      <vt:variant>
        <vt:lpwstr/>
      </vt:variant>
      <vt:variant>
        <vt:lpwstr>_Toc437966183</vt:lpwstr>
      </vt:variant>
      <vt:variant>
        <vt:i4>1245236</vt:i4>
      </vt:variant>
      <vt:variant>
        <vt:i4>962</vt:i4>
      </vt:variant>
      <vt:variant>
        <vt:i4>0</vt:i4>
      </vt:variant>
      <vt:variant>
        <vt:i4>5</vt:i4>
      </vt:variant>
      <vt:variant>
        <vt:lpwstr/>
      </vt:variant>
      <vt:variant>
        <vt:lpwstr>_Toc437966182</vt:lpwstr>
      </vt:variant>
      <vt:variant>
        <vt:i4>1245236</vt:i4>
      </vt:variant>
      <vt:variant>
        <vt:i4>956</vt:i4>
      </vt:variant>
      <vt:variant>
        <vt:i4>0</vt:i4>
      </vt:variant>
      <vt:variant>
        <vt:i4>5</vt:i4>
      </vt:variant>
      <vt:variant>
        <vt:lpwstr/>
      </vt:variant>
      <vt:variant>
        <vt:lpwstr>_Toc437966181</vt:lpwstr>
      </vt:variant>
      <vt:variant>
        <vt:i4>1245236</vt:i4>
      </vt:variant>
      <vt:variant>
        <vt:i4>950</vt:i4>
      </vt:variant>
      <vt:variant>
        <vt:i4>0</vt:i4>
      </vt:variant>
      <vt:variant>
        <vt:i4>5</vt:i4>
      </vt:variant>
      <vt:variant>
        <vt:lpwstr/>
      </vt:variant>
      <vt:variant>
        <vt:lpwstr>_Toc437966180</vt:lpwstr>
      </vt:variant>
      <vt:variant>
        <vt:i4>1835060</vt:i4>
      </vt:variant>
      <vt:variant>
        <vt:i4>944</vt:i4>
      </vt:variant>
      <vt:variant>
        <vt:i4>0</vt:i4>
      </vt:variant>
      <vt:variant>
        <vt:i4>5</vt:i4>
      </vt:variant>
      <vt:variant>
        <vt:lpwstr/>
      </vt:variant>
      <vt:variant>
        <vt:lpwstr>_Toc437966179</vt:lpwstr>
      </vt:variant>
      <vt:variant>
        <vt:i4>1835060</vt:i4>
      </vt:variant>
      <vt:variant>
        <vt:i4>938</vt:i4>
      </vt:variant>
      <vt:variant>
        <vt:i4>0</vt:i4>
      </vt:variant>
      <vt:variant>
        <vt:i4>5</vt:i4>
      </vt:variant>
      <vt:variant>
        <vt:lpwstr/>
      </vt:variant>
      <vt:variant>
        <vt:lpwstr>_Toc437966178</vt:lpwstr>
      </vt:variant>
      <vt:variant>
        <vt:i4>1835060</vt:i4>
      </vt:variant>
      <vt:variant>
        <vt:i4>932</vt:i4>
      </vt:variant>
      <vt:variant>
        <vt:i4>0</vt:i4>
      </vt:variant>
      <vt:variant>
        <vt:i4>5</vt:i4>
      </vt:variant>
      <vt:variant>
        <vt:lpwstr/>
      </vt:variant>
      <vt:variant>
        <vt:lpwstr>_Toc437966177</vt:lpwstr>
      </vt:variant>
      <vt:variant>
        <vt:i4>1835060</vt:i4>
      </vt:variant>
      <vt:variant>
        <vt:i4>926</vt:i4>
      </vt:variant>
      <vt:variant>
        <vt:i4>0</vt:i4>
      </vt:variant>
      <vt:variant>
        <vt:i4>5</vt:i4>
      </vt:variant>
      <vt:variant>
        <vt:lpwstr/>
      </vt:variant>
      <vt:variant>
        <vt:lpwstr>_Toc437966176</vt:lpwstr>
      </vt:variant>
      <vt:variant>
        <vt:i4>1835060</vt:i4>
      </vt:variant>
      <vt:variant>
        <vt:i4>920</vt:i4>
      </vt:variant>
      <vt:variant>
        <vt:i4>0</vt:i4>
      </vt:variant>
      <vt:variant>
        <vt:i4>5</vt:i4>
      </vt:variant>
      <vt:variant>
        <vt:lpwstr/>
      </vt:variant>
      <vt:variant>
        <vt:lpwstr>_Toc437966175</vt:lpwstr>
      </vt:variant>
      <vt:variant>
        <vt:i4>1835060</vt:i4>
      </vt:variant>
      <vt:variant>
        <vt:i4>914</vt:i4>
      </vt:variant>
      <vt:variant>
        <vt:i4>0</vt:i4>
      </vt:variant>
      <vt:variant>
        <vt:i4>5</vt:i4>
      </vt:variant>
      <vt:variant>
        <vt:lpwstr/>
      </vt:variant>
      <vt:variant>
        <vt:lpwstr>_Toc437966174</vt:lpwstr>
      </vt:variant>
      <vt:variant>
        <vt:i4>1835060</vt:i4>
      </vt:variant>
      <vt:variant>
        <vt:i4>908</vt:i4>
      </vt:variant>
      <vt:variant>
        <vt:i4>0</vt:i4>
      </vt:variant>
      <vt:variant>
        <vt:i4>5</vt:i4>
      </vt:variant>
      <vt:variant>
        <vt:lpwstr/>
      </vt:variant>
      <vt:variant>
        <vt:lpwstr>_Toc437966173</vt:lpwstr>
      </vt:variant>
      <vt:variant>
        <vt:i4>1835060</vt:i4>
      </vt:variant>
      <vt:variant>
        <vt:i4>902</vt:i4>
      </vt:variant>
      <vt:variant>
        <vt:i4>0</vt:i4>
      </vt:variant>
      <vt:variant>
        <vt:i4>5</vt:i4>
      </vt:variant>
      <vt:variant>
        <vt:lpwstr/>
      </vt:variant>
      <vt:variant>
        <vt:lpwstr>_Toc437966172</vt:lpwstr>
      </vt:variant>
      <vt:variant>
        <vt:i4>1835060</vt:i4>
      </vt:variant>
      <vt:variant>
        <vt:i4>896</vt:i4>
      </vt:variant>
      <vt:variant>
        <vt:i4>0</vt:i4>
      </vt:variant>
      <vt:variant>
        <vt:i4>5</vt:i4>
      </vt:variant>
      <vt:variant>
        <vt:lpwstr/>
      </vt:variant>
      <vt:variant>
        <vt:lpwstr>_Toc437966171</vt:lpwstr>
      </vt:variant>
      <vt:variant>
        <vt:i4>1835060</vt:i4>
      </vt:variant>
      <vt:variant>
        <vt:i4>890</vt:i4>
      </vt:variant>
      <vt:variant>
        <vt:i4>0</vt:i4>
      </vt:variant>
      <vt:variant>
        <vt:i4>5</vt:i4>
      </vt:variant>
      <vt:variant>
        <vt:lpwstr/>
      </vt:variant>
      <vt:variant>
        <vt:lpwstr>_Toc437966170</vt:lpwstr>
      </vt:variant>
      <vt:variant>
        <vt:i4>1900596</vt:i4>
      </vt:variant>
      <vt:variant>
        <vt:i4>884</vt:i4>
      </vt:variant>
      <vt:variant>
        <vt:i4>0</vt:i4>
      </vt:variant>
      <vt:variant>
        <vt:i4>5</vt:i4>
      </vt:variant>
      <vt:variant>
        <vt:lpwstr/>
      </vt:variant>
      <vt:variant>
        <vt:lpwstr>_Toc437966169</vt:lpwstr>
      </vt:variant>
      <vt:variant>
        <vt:i4>1900596</vt:i4>
      </vt:variant>
      <vt:variant>
        <vt:i4>878</vt:i4>
      </vt:variant>
      <vt:variant>
        <vt:i4>0</vt:i4>
      </vt:variant>
      <vt:variant>
        <vt:i4>5</vt:i4>
      </vt:variant>
      <vt:variant>
        <vt:lpwstr/>
      </vt:variant>
      <vt:variant>
        <vt:lpwstr>_Toc437966168</vt:lpwstr>
      </vt:variant>
      <vt:variant>
        <vt:i4>1900596</vt:i4>
      </vt:variant>
      <vt:variant>
        <vt:i4>872</vt:i4>
      </vt:variant>
      <vt:variant>
        <vt:i4>0</vt:i4>
      </vt:variant>
      <vt:variant>
        <vt:i4>5</vt:i4>
      </vt:variant>
      <vt:variant>
        <vt:lpwstr/>
      </vt:variant>
      <vt:variant>
        <vt:lpwstr>_Toc437966167</vt:lpwstr>
      </vt:variant>
      <vt:variant>
        <vt:i4>1900596</vt:i4>
      </vt:variant>
      <vt:variant>
        <vt:i4>866</vt:i4>
      </vt:variant>
      <vt:variant>
        <vt:i4>0</vt:i4>
      </vt:variant>
      <vt:variant>
        <vt:i4>5</vt:i4>
      </vt:variant>
      <vt:variant>
        <vt:lpwstr/>
      </vt:variant>
      <vt:variant>
        <vt:lpwstr>_Toc437966166</vt:lpwstr>
      </vt:variant>
      <vt:variant>
        <vt:i4>1900596</vt:i4>
      </vt:variant>
      <vt:variant>
        <vt:i4>860</vt:i4>
      </vt:variant>
      <vt:variant>
        <vt:i4>0</vt:i4>
      </vt:variant>
      <vt:variant>
        <vt:i4>5</vt:i4>
      </vt:variant>
      <vt:variant>
        <vt:lpwstr/>
      </vt:variant>
      <vt:variant>
        <vt:lpwstr>_Toc437966165</vt:lpwstr>
      </vt:variant>
      <vt:variant>
        <vt:i4>1900596</vt:i4>
      </vt:variant>
      <vt:variant>
        <vt:i4>854</vt:i4>
      </vt:variant>
      <vt:variant>
        <vt:i4>0</vt:i4>
      </vt:variant>
      <vt:variant>
        <vt:i4>5</vt:i4>
      </vt:variant>
      <vt:variant>
        <vt:lpwstr/>
      </vt:variant>
      <vt:variant>
        <vt:lpwstr>_Toc437966164</vt:lpwstr>
      </vt:variant>
      <vt:variant>
        <vt:i4>1900596</vt:i4>
      </vt:variant>
      <vt:variant>
        <vt:i4>848</vt:i4>
      </vt:variant>
      <vt:variant>
        <vt:i4>0</vt:i4>
      </vt:variant>
      <vt:variant>
        <vt:i4>5</vt:i4>
      </vt:variant>
      <vt:variant>
        <vt:lpwstr/>
      </vt:variant>
      <vt:variant>
        <vt:lpwstr>_Toc437966163</vt:lpwstr>
      </vt:variant>
      <vt:variant>
        <vt:i4>1900596</vt:i4>
      </vt:variant>
      <vt:variant>
        <vt:i4>842</vt:i4>
      </vt:variant>
      <vt:variant>
        <vt:i4>0</vt:i4>
      </vt:variant>
      <vt:variant>
        <vt:i4>5</vt:i4>
      </vt:variant>
      <vt:variant>
        <vt:lpwstr/>
      </vt:variant>
      <vt:variant>
        <vt:lpwstr>_Toc437966162</vt:lpwstr>
      </vt:variant>
      <vt:variant>
        <vt:i4>1900596</vt:i4>
      </vt:variant>
      <vt:variant>
        <vt:i4>836</vt:i4>
      </vt:variant>
      <vt:variant>
        <vt:i4>0</vt:i4>
      </vt:variant>
      <vt:variant>
        <vt:i4>5</vt:i4>
      </vt:variant>
      <vt:variant>
        <vt:lpwstr/>
      </vt:variant>
      <vt:variant>
        <vt:lpwstr>_Toc437966161</vt:lpwstr>
      </vt:variant>
      <vt:variant>
        <vt:i4>1900596</vt:i4>
      </vt:variant>
      <vt:variant>
        <vt:i4>830</vt:i4>
      </vt:variant>
      <vt:variant>
        <vt:i4>0</vt:i4>
      </vt:variant>
      <vt:variant>
        <vt:i4>5</vt:i4>
      </vt:variant>
      <vt:variant>
        <vt:lpwstr/>
      </vt:variant>
      <vt:variant>
        <vt:lpwstr>_Toc437966160</vt:lpwstr>
      </vt:variant>
      <vt:variant>
        <vt:i4>1966132</vt:i4>
      </vt:variant>
      <vt:variant>
        <vt:i4>824</vt:i4>
      </vt:variant>
      <vt:variant>
        <vt:i4>0</vt:i4>
      </vt:variant>
      <vt:variant>
        <vt:i4>5</vt:i4>
      </vt:variant>
      <vt:variant>
        <vt:lpwstr/>
      </vt:variant>
      <vt:variant>
        <vt:lpwstr>_Toc437966159</vt:lpwstr>
      </vt:variant>
      <vt:variant>
        <vt:i4>1966132</vt:i4>
      </vt:variant>
      <vt:variant>
        <vt:i4>818</vt:i4>
      </vt:variant>
      <vt:variant>
        <vt:i4>0</vt:i4>
      </vt:variant>
      <vt:variant>
        <vt:i4>5</vt:i4>
      </vt:variant>
      <vt:variant>
        <vt:lpwstr/>
      </vt:variant>
      <vt:variant>
        <vt:lpwstr>_Toc437966158</vt:lpwstr>
      </vt:variant>
      <vt:variant>
        <vt:i4>1966132</vt:i4>
      </vt:variant>
      <vt:variant>
        <vt:i4>812</vt:i4>
      </vt:variant>
      <vt:variant>
        <vt:i4>0</vt:i4>
      </vt:variant>
      <vt:variant>
        <vt:i4>5</vt:i4>
      </vt:variant>
      <vt:variant>
        <vt:lpwstr/>
      </vt:variant>
      <vt:variant>
        <vt:lpwstr>_Toc437966157</vt:lpwstr>
      </vt:variant>
      <vt:variant>
        <vt:i4>1966132</vt:i4>
      </vt:variant>
      <vt:variant>
        <vt:i4>806</vt:i4>
      </vt:variant>
      <vt:variant>
        <vt:i4>0</vt:i4>
      </vt:variant>
      <vt:variant>
        <vt:i4>5</vt:i4>
      </vt:variant>
      <vt:variant>
        <vt:lpwstr/>
      </vt:variant>
      <vt:variant>
        <vt:lpwstr>_Toc437966156</vt:lpwstr>
      </vt:variant>
      <vt:variant>
        <vt:i4>1966132</vt:i4>
      </vt:variant>
      <vt:variant>
        <vt:i4>800</vt:i4>
      </vt:variant>
      <vt:variant>
        <vt:i4>0</vt:i4>
      </vt:variant>
      <vt:variant>
        <vt:i4>5</vt:i4>
      </vt:variant>
      <vt:variant>
        <vt:lpwstr/>
      </vt:variant>
      <vt:variant>
        <vt:lpwstr>_Toc437966155</vt:lpwstr>
      </vt:variant>
      <vt:variant>
        <vt:i4>1966132</vt:i4>
      </vt:variant>
      <vt:variant>
        <vt:i4>794</vt:i4>
      </vt:variant>
      <vt:variant>
        <vt:i4>0</vt:i4>
      </vt:variant>
      <vt:variant>
        <vt:i4>5</vt:i4>
      </vt:variant>
      <vt:variant>
        <vt:lpwstr/>
      </vt:variant>
      <vt:variant>
        <vt:lpwstr>_Toc437966154</vt:lpwstr>
      </vt:variant>
      <vt:variant>
        <vt:i4>1966132</vt:i4>
      </vt:variant>
      <vt:variant>
        <vt:i4>788</vt:i4>
      </vt:variant>
      <vt:variant>
        <vt:i4>0</vt:i4>
      </vt:variant>
      <vt:variant>
        <vt:i4>5</vt:i4>
      </vt:variant>
      <vt:variant>
        <vt:lpwstr/>
      </vt:variant>
      <vt:variant>
        <vt:lpwstr>_Toc437966153</vt:lpwstr>
      </vt:variant>
      <vt:variant>
        <vt:i4>1966132</vt:i4>
      </vt:variant>
      <vt:variant>
        <vt:i4>782</vt:i4>
      </vt:variant>
      <vt:variant>
        <vt:i4>0</vt:i4>
      </vt:variant>
      <vt:variant>
        <vt:i4>5</vt:i4>
      </vt:variant>
      <vt:variant>
        <vt:lpwstr/>
      </vt:variant>
      <vt:variant>
        <vt:lpwstr>_Toc437966152</vt:lpwstr>
      </vt:variant>
      <vt:variant>
        <vt:i4>1966132</vt:i4>
      </vt:variant>
      <vt:variant>
        <vt:i4>776</vt:i4>
      </vt:variant>
      <vt:variant>
        <vt:i4>0</vt:i4>
      </vt:variant>
      <vt:variant>
        <vt:i4>5</vt:i4>
      </vt:variant>
      <vt:variant>
        <vt:lpwstr/>
      </vt:variant>
      <vt:variant>
        <vt:lpwstr>_Toc437966151</vt:lpwstr>
      </vt:variant>
      <vt:variant>
        <vt:i4>1966132</vt:i4>
      </vt:variant>
      <vt:variant>
        <vt:i4>770</vt:i4>
      </vt:variant>
      <vt:variant>
        <vt:i4>0</vt:i4>
      </vt:variant>
      <vt:variant>
        <vt:i4>5</vt:i4>
      </vt:variant>
      <vt:variant>
        <vt:lpwstr/>
      </vt:variant>
      <vt:variant>
        <vt:lpwstr>_Toc437966150</vt:lpwstr>
      </vt:variant>
      <vt:variant>
        <vt:i4>2031668</vt:i4>
      </vt:variant>
      <vt:variant>
        <vt:i4>764</vt:i4>
      </vt:variant>
      <vt:variant>
        <vt:i4>0</vt:i4>
      </vt:variant>
      <vt:variant>
        <vt:i4>5</vt:i4>
      </vt:variant>
      <vt:variant>
        <vt:lpwstr/>
      </vt:variant>
      <vt:variant>
        <vt:lpwstr>_Toc437966149</vt:lpwstr>
      </vt:variant>
      <vt:variant>
        <vt:i4>2031668</vt:i4>
      </vt:variant>
      <vt:variant>
        <vt:i4>758</vt:i4>
      </vt:variant>
      <vt:variant>
        <vt:i4>0</vt:i4>
      </vt:variant>
      <vt:variant>
        <vt:i4>5</vt:i4>
      </vt:variant>
      <vt:variant>
        <vt:lpwstr/>
      </vt:variant>
      <vt:variant>
        <vt:lpwstr>_Toc437966148</vt:lpwstr>
      </vt:variant>
      <vt:variant>
        <vt:i4>2031668</vt:i4>
      </vt:variant>
      <vt:variant>
        <vt:i4>752</vt:i4>
      </vt:variant>
      <vt:variant>
        <vt:i4>0</vt:i4>
      </vt:variant>
      <vt:variant>
        <vt:i4>5</vt:i4>
      </vt:variant>
      <vt:variant>
        <vt:lpwstr/>
      </vt:variant>
      <vt:variant>
        <vt:lpwstr>_Toc437966147</vt:lpwstr>
      </vt:variant>
      <vt:variant>
        <vt:i4>2031668</vt:i4>
      </vt:variant>
      <vt:variant>
        <vt:i4>746</vt:i4>
      </vt:variant>
      <vt:variant>
        <vt:i4>0</vt:i4>
      </vt:variant>
      <vt:variant>
        <vt:i4>5</vt:i4>
      </vt:variant>
      <vt:variant>
        <vt:lpwstr/>
      </vt:variant>
      <vt:variant>
        <vt:lpwstr>_Toc437966146</vt:lpwstr>
      </vt:variant>
      <vt:variant>
        <vt:i4>2031668</vt:i4>
      </vt:variant>
      <vt:variant>
        <vt:i4>740</vt:i4>
      </vt:variant>
      <vt:variant>
        <vt:i4>0</vt:i4>
      </vt:variant>
      <vt:variant>
        <vt:i4>5</vt:i4>
      </vt:variant>
      <vt:variant>
        <vt:lpwstr/>
      </vt:variant>
      <vt:variant>
        <vt:lpwstr>_Toc437966145</vt:lpwstr>
      </vt:variant>
      <vt:variant>
        <vt:i4>2031668</vt:i4>
      </vt:variant>
      <vt:variant>
        <vt:i4>734</vt:i4>
      </vt:variant>
      <vt:variant>
        <vt:i4>0</vt:i4>
      </vt:variant>
      <vt:variant>
        <vt:i4>5</vt:i4>
      </vt:variant>
      <vt:variant>
        <vt:lpwstr/>
      </vt:variant>
      <vt:variant>
        <vt:lpwstr>_Toc437966144</vt:lpwstr>
      </vt:variant>
      <vt:variant>
        <vt:i4>2031668</vt:i4>
      </vt:variant>
      <vt:variant>
        <vt:i4>728</vt:i4>
      </vt:variant>
      <vt:variant>
        <vt:i4>0</vt:i4>
      </vt:variant>
      <vt:variant>
        <vt:i4>5</vt:i4>
      </vt:variant>
      <vt:variant>
        <vt:lpwstr/>
      </vt:variant>
      <vt:variant>
        <vt:lpwstr>_Toc437966143</vt:lpwstr>
      </vt:variant>
      <vt:variant>
        <vt:i4>2031668</vt:i4>
      </vt:variant>
      <vt:variant>
        <vt:i4>722</vt:i4>
      </vt:variant>
      <vt:variant>
        <vt:i4>0</vt:i4>
      </vt:variant>
      <vt:variant>
        <vt:i4>5</vt:i4>
      </vt:variant>
      <vt:variant>
        <vt:lpwstr/>
      </vt:variant>
      <vt:variant>
        <vt:lpwstr>_Toc437966142</vt:lpwstr>
      </vt:variant>
      <vt:variant>
        <vt:i4>2031668</vt:i4>
      </vt:variant>
      <vt:variant>
        <vt:i4>716</vt:i4>
      </vt:variant>
      <vt:variant>
        <vt:i4>0</vt:i4>
      </vt:variant>
      <vt:variant>
        <vt:i4>5</vt:i4>
      </vt:variant>
      <vt:variant>
        <vt:lpwstr/>
      </vt:variant>
      <vt:variant>
        <vt:lpwstr>_Toc437966141</vt:lpwstr>
      </vt:variant>
      <vt:variant>
        <vt:i4>2031668</vt:i4>
      </vt:variant>
      <vt:variant>
        <vt:i4>710</vt:i4>
      </vt:variant>
      <vt:variant>
        <vt:i4>0</vt:i4>
      </vt:variant>
      <vt:variant>
        <vt:i4>5</vt:i4>
      </vt:variant>
      <vt:variant>
        <vt:lpwstr/>
      </vt:variant>
      <vt:variant>
        <vt:lpwstr>_Toc437966140</vt:lpwstr>
      </vt:variant>
      <vt:variant>
        <vt:i4>1572916</vt:i4>
      </vt:variant>
      <vt:variant>
        <vt:i4>704</vt:i4>
      </vt:variant>
      <vt:variant>
        <vt:i4>0</vt:i4>
      </vt:variant>
      <vt:variant>
        <vt:i4>5</vt:i4>
      </vt:variant>
      <vt:variant>
        <vt:lpwstr/>
      </vt:variant>
      <vt:variant>
        <vt:lpwstr>_Toc437966139</vt:lpwstr>
      </vt:variant>
      <vt:variant>
        <vt:i4>1572916</vt:i4>
      </vt:variant>
      <vt:variant>
        <vt:i4>698</vt:i4>
      </vt:variant>
      <vt:variant>
        <vt:i4>0</vt:i4>
      </vt:variant>
      <vt:variant>
        <vt:i4>5</vt:i4>
      </vt:variant>
      <vt:variant>
        <vt:lpwstr/>
      </vt:variant>
      <vt:variant>
        <vt:lpwstr>_Toc437966138</vt:lpwstr>
      </vt:variant>
      <vt:variant>
        <vt:i4>1572916</vt:i4>
      </vt:variant>
      <vt:variant>
        <vt:i4>692</vt:i4>
      </vt:variant>
      <vt:variant>
        <vt:i4>0</vt:i4>
      </vt:variant>
      <vt:variant>
        <vt:i4>5</vt:i4>
      </vt:variant>
      <vt:variant>
        <vt:lpwstr/>
      </vt:variant>
      <vt:variant>
        <vt:lpwstr>_Toc437966137</vt:lpwstr>
      </vt:variant>
      <vt:variant>
        <vt:i4>1572916</vt:i4>
      </vt:variant>
      <vt:variant>
        <vt:i4>686</vt:i4>
      </vt:variant>
      <vt:variant>
        <vt:i4>0</vt:i4>
      </vt:variant>
      <vt:variant>
        <vt:i4>5</vt:i4>
      </vt:variant>
      <vt:variant>
        <vt:lpwstr/>
      </vt:variant>
      <vt:variant>
        <vt:lpwstr>_Toc437966136</vt:lpwstr>
      </vt:variant>
      <vt:variant>
        <vt:i4>1572916</vt:i4>
      </vt:variant>
      <vt:variant>
        <vt:i4>680</vt:i4>
      </vt:variant>
      <vt:variant>
        <vt:i4>0</vt:i4>
      </vt:variant>
      <vt:variant>
        <vt:i4>5</vt:i4>
      </vt:variant>
      <vt:variant>
        <vt:lpwstr/>
      </vt:variant>
      <vt:variant>
        <vt:lpwstr>_Toc437966135</vt:lpwstr>
      </vt:variant>
      <vt:variant>
        <vt:i4>1572916</vt:i4>
      </vt:variant>
      <vt:variant>
        <vt:i4>674</vt:i4>
      </vt:variant>
      <vt:variant>
        <vt:i4>0</vt:i4>
      </vt:variant>
      <vt:variant>
        <vt:i4>5</vt:i4>
      </vt:variant>
      <vt:variant>
        <vt:lpwstr/>
      </vt:variant>
      <vt:variant>
        <vt:lpwstr>_Toc437966134</vt:lpwstr>
      </vt:variant>
      <vt:variant>
        <vt:i4>1572916</vt:i4>
      </vt:variant>
      <vt:variant>
        <vt:i4>668</vt:i4>
      </vt:variant>
      <vt:variant>
        <vt:i4>0</vt:i4>
      </vt:variant>
      <vt:variant>
        <vt:i4>5</vt:i4>
      </vt:variant>
      <vt:variant>
        <vt:lpwstr/>
      </vt:variant>
      <vt:variant>
        <vt:lpwstr>_Toc437966133</vt:lpwstr>
      </vt:variant>
      <vt:variant>
        <vt:i4>1572916</vt:i4>
      </vt:variant>
      <vt:variant>
        <vt:i4>662</vt:i4>
      </vt:variant>
      <vt:variant>
        <vt:i4>0</vt:i4>
      </vt:variant>
      <vt:variant>
        <vt:i4>5</vt:i4>
      </vt:variant>
      <vt:variant>
        <vt:lpwstr/>
      </vt:variant>
      <vt:variant>
        <vt:lpwstr>_Toc437966132</vt:lpwstr>
      </vt:variant>
      <vt:variant>
        <vt:i4>1572916</vt:i4>
      </vt:variant>
      <vt:variant>
        <vt:i4>656</vt:i4>
      </vt:variant>
      <vt:variant>
        <vt:i4>0</vt:i4>
      </vt:variant>
      <vt:variant>
        <vt:i4>5</vt:i4>
      </vt:variant>
      <vt:variant>
        <vt:lpwstr/>
      </vt:variant>
      <vt:variant>
        <vt:lpwstr>_Toc437966131</vt:lpwstr>
      </vt:variant>
      <vt:variant>
        <vt:i4>1572916</vt:i4>
      </vt:variant>
      <vt:variant>
        <vt:i4>650</vt:i4>
      </vt:variant>
      <vt:variant>
        <vt:i4>0</vt:i4>
      </vt:variant>
      <vt:variant>
        <vt:i4>5</vt:i4>
      </vt:variant>
      <vt:variant>
        <vt:lpwstr/>
      </vt:variant>
      <vt:variant>
        <vt:lpwstr>_Toc437966130</vt:lpwstr>
      </vt:variant>
      <vt:variant>
        <vt:i4>1638452</vt:i4>
      </vt:variant>
      <vt:variant>
        <vt:i4>644</vt:i4>
      </vt:variant>
      <vt:variant>
        <vt:i4>0</vt:i4>
      </vt:variant>
      <vt:variant>
        <vt:i4>5</vt:i4>
      </vt:variant>
      <vt:variant>
        <vt:lpwstr/>
      </vt:variant>
      <vt:variant>
        <vt:lpwstr>_Toc437966129</vt:lpwstr>
      </vt:variant>
      <vt:variant>
        <vt:i4>1638452</vt:i4>
      </vt:variant>
      <vt:variant>
        <vt:i4>638</vt:i4>
      </vt:variant>
      <vt:variant>
        <vt:i4>0</vt:i4>
      </vt:variant>
      <vt:variant>
        <vt:i4>5</vt:i4>
      </vt:variant>
      <vt:variant>
        <vt:lpwstr/>
      </vt:variant>
      <vt:variant>
        <vt:lpwstr>_Toc437966128</vt:lpwstr>
      </vt:variant>
      <vt:variant>
        <vt:i4>1638452</vt:i4>
      </vt:variant>
      <vt:variant>
        <vt:i4>632</vt:i4>
      </vt:variant>
      <vt:variant>
        <vt:i4>0</vt:i4>
      </vt:variant>
      <vt:variant>
        <vt:i4>5</vt:i4>
      </vt:variant>
      <vt:variant>
        <vt:lpwstr/>
      </vt:variant>
      <vt:variant>
        <vt:lpwstr>_Toc437966127</vt:lpwstr>
      </vt:variant>
      <vt:variant>
        <vt:i4>1638452</vt:i4>
      </vt:variant>
      <vt:variant>
        <vt:i4>626</vt:i4>
      </vt:variant>
      <vt:variant>
        <vt:i4>0</vt:i4>
      </vt:variant>
      <vt:variant>
        <vt:i4>5</vt:i4>
      </vt:variant>
      <vt:variant>
        <vt:lpwstr/>
      </vt:variant>
      <vt:variant>
        <vt:lpwstr>_Toc437966126</vt:lpwstr>
      </vt:variant>
      <vt:variant>
        <vt:i4>1638452</vt:i4>
      </vt:variant>
      <vt:variant>
        <vt:i4>620</vt:i4>
      </vt:variant>
      <vt:variant>
        <vt:i4>0</vt:i4>
      </vt:variant>
      <vt:variant>
        <vt:i4>5</vt:i4>
      </vt:variant>
      <vt:variant>
        <vt:lpwstr/>
      </vt:variant>
      <vt:variant>
        <vt:lpwstr>_Toc437966125</vt:lpwstr>
      </vt:variant>
      <vt:variant>
        <vt:i4>1638452</vt:i4>
      </vt:variant>
      <vt:variant>
        <vt:i4>614</vt:i4>
      </vt:variant>
      <vt:variant>
        <vt:i4>0</vt:i4>
      </vt:variant>
      <vt:variant>
        <vt:i4>5</vt:i4>
      </vt:variant>
      <vt:variant>
        <vt:lpwstr/>
      </vt:variant>
      <vt:variant>
        <vt:lpwstr>_Toc437966124</vt:lpwstr>
      </vt:variant>
      <vt:variant>
        <vt:i4>1638452</vt:i4>
      </vt:variant>
      <vt:variant>
        <vt:i4>608</vt:i4>
      </vt:variant>
      <vt:variant>
        <vt:i4>0</vt:i4>
      </vt:variant>
      <vt:variant>
        <vt:i4>5</vt:i4>
      </vt:variant>
      <vt:variant>
        <vt:lpwstr/>
      </vt:variant>
      <vt:variant>
        <vt:lpwstr>_Toc437966123</vt:lpwstr>
      </vt:variant>
      <vt:variant>
        <vt:i4>1638452</vt:i4>
      </vt:variant>
      <vt:variant>
        <vt:i4>602</vt:i4>
      </vt:variant>
      <vt:variant>
        <vt:i4>0</vt:i4>
      </vt:variant>
      <vt:variant>
        <vt:i4>5</vt:i4>
      </vt:variant>
      <vt:variant>
        <vt:lpwstr/>
      </vt:variant>
      <vt:variant>
        <vt:lpwstr>_Toc437966122</vt:lpwstr>
      </vt:variant>
      <vt:variant>
        <vt:i4>1638452</vt:i4>
      </vt:variant>
      <vt:variant>
        <vt:i4>596</vt:i4>
      </vt:variant>
      <vt:variant>
        <vt:i4>0</vt:i4>
      </vt:variant>
      <vt:variant>
        <vt:i4>5</vt:i4>
      </vt:variant>
      <vt:variant>
        <vt:lpwstr/>
      </vt:variant>
      <vt:variant>
        <vt:lpwstr>_Toc437966121</vt:lpwstr>
      </vt:variant>
      <vt:variant>
        <vt:i4>1638452</vt:i4>
      </vt:variant>
      <vt:variant>
        <vt:i4>590</vt:i4>
      </vt:variant>
      <vt:variant>
        <vt:i4>0</vt:i4>
      </vt:variant>
      <vt:variant>
        <vt:i4>5</vt:i4>
      </vt:variant>
      <vt:variant>
        <vt:lpwstr/>
      </vt:variant>
      <vt:variant>
        <vt:lpwstr>_Toc437966120</vt:lpwstr>
      </vt:variant>
      <vt:variant>
        <vt:i4>1703988</vt:i4>
      </vt:variant>
      <vt:variant>
        <vt:i4>584</vt:i4>
      </vt:variant>
      <vt:variant>
        <vt:i4>0</vt:i4>
      </vt:variant>
      <vt:variant>
        <vt:i4>5</vt:i4>
      </vt:variant>
      <vt:variant>
        <vt:lpwstr/>
      </vt:variant>
      <vt:variant>
        <vt:lpwstr>_Toc437966119</vt:lpwstr>
      </vt:variant>
      <vt:variant>
        <vt:i4>1703988</vt:i4>
      </vt:variant>
      <vt:variant>
        <vt:i4>578</vt:i4>
      </vt:variant>
      <vt:variant>
        <vt:i4>0</vt:i4>
      </vt:variant>
      <vt:variant>
        <vt:i4>5</vt:i4>
      </vt:variant>
      <vt:variant>
        <vt:lpwstr/>
      </vt:variant>
      <vt:variant>
        <vt:lpwstr>_Toc437966118</vt:lpwstr>
      </vt:variant>
      <vt:variant>
        <vt:i4>1703988</vt:i4>
      </vt:variant>
      <vt:variant>
        <vt:i4>572</vt:i4>
      </vt:variant>
      <vt:variant>
        <vt:i4>0</vt:i4>
      </vt:variant>
      <vt:variant>
        <vt:i4>5</vt:i4>
      </vt:variant>
      <vt:variant>
        <vt:lpwstr/>
      </vt:variant>
      <vt:variant>
        <vt:lpwstr>_Toc437966117</vt:lpwstr>
      </vt:variant>
      <vt:variant>
        <vt:i4>1703988</vt:i4>
      </vt:variant>
      <vt:variant>
        <vt:i4>566</vt:i4>
      </vt:variant>
      <vt:variant>
        <vt:i4>0</vt:i4>
      </vt:variant>
      <vt:variant>
        <vt:i4>5</vt:i4>
      </vt:variant>
      <vt:variant>
        <vt:lpwstr/>
      </vt:variant>
      <vt:variant>
        <vt:lpwstr>_Toc437966116</vt:lpwstr>
      </vt:variant>
      <vt:variant>
        <vt:i4>1703988</vt:i4>
      </vt:variant>
      <vt:variant>
        <vt:i4>560</vt:i4>
      </vt:variant>
      <vt:variant>
        <vt:i4>0</vt:i4>
      </vt:variant>
      <vt:variant>
        <vt:i4>5</vt:i4>
      </vt:variant>
      <vt:variant>
        <vt:lpwstr/>
      </vt:variant>
      <vt:variant>
        <vt:lpwstr>_Toc437966115</vt:lpwstr>
      </vt:variant>
      <vt:variant>
        <vt:i4>1703988</vt:i4>
      </vt:variant>
      <vt:variant>
        <vt:i4>554</vt:i4>
      </vt:variant>
      <vt:variant>
        <vt:i4>0</vt:i4>
      </vt:variant>
      <vt:variant>
        <vt:i4>5</vt:i4>
      </vt:variant>
      <vt:variant>
        <vt:lpwstr/>
      </vt:variant>
      <vt:variant>
        <vt:lpwstr>_Toc437966114</vt:lpwstr>
      </vt:variant>
      <vt:variant>
        <vt:i4>1703988</vt:i4>
      </vt:variant>
      <vt:variant>
        <vt:i4>548</vt:i4>
      </vt:variant>
      <vt:variant>
        <vt:i4>0</vt:i4>
      </vt:variant>
      <vt:variant>
        <vt:i4>5</vt:i4>
      </vt:variant>
      <vt:variant>
        <vt:lpwstr/>
      </vt:variant>
      <vt:variant>
        <vt:lpwstr>_Toc437966113</vt:lpwstr>
      </vt:variant>
      <vt:variant>
        <vt:i4>1703988</vt:i4>
      </vt:variant>
      <vt:variant>
        <vt:i4>542</vt:i4>
      </vt:variant>
      <vt:variant>
        <vt:i4>0</vt:i4>
      </vt:variant>
      <vt:variant>
        <vt:i4>5</vt:i4>
      </vt:variant>
      <vt:variant>
        <vt:lpwstr/>
      </vt:variant>
      <vt:variant>
        <vt:lpwstr>_Toc437966112</vt:lpwstr>
      </vt:variant>
      <vt:variant>
        <vt:i4>1703988</vt:i4>
      </vt:variant>
      <vt:variant>
        <vt:i4>536</vt:i4>
      </vt:variant>
      <vt:variant>
        <vt:i4>0</vt:i4>
      </vt:variant>
      <vt:variant>
        <vt:i4>5</vt:i4>
      </vt:variant>
      <vt:variant>
        <vt:lpwstr/>
      </vt:variant>
      <vt:variant>
        <vt:lpwstr>_Toc437966111</vt:lpwstr>
      </vt:variant>
      <vt:variant>
        <vt:i4>1703988</vt:i4>
      </vt:variant>
      <vt:variant>
        <vt:i4>530</vt:i4>
      </vt:variant>
      <vt:variant>
        <vt:i4>0</vt:i4>
      </vt:variant>
      <vt:variant>
        <vt:i4>5</vt:i4>
      </vt:variant>
      <vt:variant>
        <vt:lpwstr/>
      </vt:variant>
      <vt:variant>
        <vt:lpwstr>_Toc437966110</vt:lpwstr>
      </vt:variant>
      <vt:variant>
        <vt:i4>1769524</vt:i4>
      </vt:variant>
      <vt:variant>
        <vt:i4>524</vt:i4>
      </vt:variant>
      <vt:variant>
        <vt:i4>0</vt:i4>
      </vt:variant>
      <vt:variant>
        <vt:i4>5</vt:i4>
      </vt:variant>
      <vt:variant>
        <vt:lpwstr/>
      </vt:variant>
      <vt:variant>
        <vt:lpwstr>_Toc437966109</vt:lpwstr>
      </vt:variant>
      <vt:variant>
        <vt:i4>1769524</vt:i4>
      </vt:variant>
      <vt:variant>
        <vt:i4>518</vt:i4>
      </vt:variant>
      <vt:variant>
        <vt:i4>0</vt:i4>
      </vt:variant>
      <vt:variant>
        <vt:i4>5</vt:i4>
      </vt:variant>
      <vt:variant>
        <vt:lpwstr/>
      </vt:variant>
      <vt:variant>
        <vt:lpwstr>_Toc437966108</vt:lpwstr>
      </vt:variant>
      <vt:variant>
        <vt:i4>1769524</vt:i4>
      </vt:variant>
      <vt:variant>
        <vt:i4>512</vt:i4>
      </vt:variant>
      <vt:variant>
        <vt:i4>0</vt:i4>
      </vt:variant>
      <vt:variant>
        <vt:i4>5</vt:i4>
      </vt:variant>
      <vt:variant>
        <vt:lpwstr/>
      </vt:variant>
      <vt:variant>
        <vt:lpwstr>_Toc437966107</vt:lpwstr>
      </vt:variant>
      <vt:variant>
        <vt:i4>1769524</vt:i4>
      </vt:variant>
      <vt:variant>
        <vt:i4>506</vt:i4>
      </vt:variant>
      <vt:variant>
        <vt:i4>0</vt:i4>
      </vt:variant>
      <vt:variant>
        <vt:i4>5</vt:i4>
      </vt:variant>
      <vt:variant>
        <vt:lpwstr/>
      </vt:variant>
      <vt:variant>
        <vt:lpwstr>_Toc437966106</vt:lpwstr>
      </vt:variant>
      <vt:variant>
        <vt:i4>1769524</vt:i4>
      </vt:variant>
      <vt:variant>
        <vt:i4>500</vt:i4>
      </vt:variant>
      <vt:variant>
        <vt:i4>0</vt:i4>
      </vt:variant>
      <vt:variant>
        <vt:i4>5</vt:i4>
      </vt:variant>
      <vt:variant>
        <vt:lpwstr/>
      </vt:variant>
      <vt:variant>
        <vt:lpwstr>_Toc437966105</vt:lpwstr>
      </vt:variant>
      <vt:variant>
        <vt:i4>1769524</vt:i4>
      </vt:variant>
      <vt:variant>
        <vt:i4>494</vt:i4>
      </vt:variant>
      <vt:variant>
        <vt:i4>0</vt:i4>
      </vt:variant>
      <vt:variant>
        <vt:i4>5</vt:i4>
      </vt:variant>
      <vt:variant>
        <vt:lpwstr/>
      </vt:variant>
      <vt:variant>
        <vt:lpwstr>_Toc437966104</vt:lpwstr>
      </vt:variant>
      <vt:variant>
        <vt:i4>1769524</vt:i4>
      </vt:variant>
      <vt:variant>
        <vt:i4>488</vt:i4>
      </vt:variant>
      <vt:variant>
        <vt:i4>0</vt:i4>
      </vt:variant>
      <vt:variant>
        <vt:i4>5</vt:i4>
      </vt:variant>
      <vt:variant>
        <vt:lpwstr/>
      </vt:variant>
      <vt:variant>
        <vt:lpwstr>_Toc437966103</vt:lpwstr>
      </vt:variant>
      <vt:variant>
        <vt:i4>1769524</vt:i4>
      </vt:variant>
      <vt:variant>
        <vt:i4>482</vt:i4>
      </vt:variant>
      <vt:variant>
        <vt:i4>0</vt:i4>
      </vt:variant>
      <vt:variant>
        <vt:i4>5</vt:i4>
      </vt:variant>
      <vt:variant>
        <vt:lpwstr/>
      </vt:variant>
      <vt:variant>
        <vt:lpwstr>_Toc437966102</vt:lpwstr>
      </vt:variant>
      <vt:variant>
        <vt:i4>1769524</vt:i4>
      </vt:variant>
      <vt:variant>
        <vt:i4>476</vt:i4>
      </vt:variant>
      <vt:variant>
        <vt:i4>0</vt:i4>
      </vt:variant>
      <vt:variant>
        <vt:i4>5</vt:i4>
      </vt:variant>
      <vt:variant>
        <vt:lpwstr/>
      </vt:variant>
      <vt:variant>
        <vt:lpwstr>_Toc437966101</vt:lpwstr>
      </vt:variant>
      <vt:variant>
        <vt:i4>1769524</vt:i4>
      </vt:variant>
      <vt:variant>
        <vt:i4>470</vt:i4>
      </vt:variant>
      <vt:variant>
        <vt:i4>0</vt:i4>
      </vt:variant>
      <vt:variant>
        <vt:i4>5</vt:i4>
      </vt:variant>
      <vt:variant>
        <vt:lpwstr/>
      </vt:variant>
      <vt:variant>
        <vt:lpwstr>_Toc437966100</vt:lpwstr>
      </vt:variant>
      <vt:variant>
        <vt:i4>1179701</vt:i4>
      </vt:variant>
      <vt:variant>
        <vt:i4>464</vt:i4>
      </vt:variant>
      <vt:variant>
        <vt:i4>0</vt:i4>
      </vt:variant>
      <vt:variant>
        <vt:i4>5</vt:i4>
      </vt:variant>
      <vt:variant>
        <vt:lpwstr/>
      </vt:variant>
      <vt:variant>
        <vt:lpwstr>_Toc437966099</vt:lpwstr>
      </vt:variant>
      <vt:variant>
        <vt:i4>1179701</vt:i4>
      </vt:variant>
      <vt:variant>
        <vt:i4>458</vt:i4>
      </vt:variant>
      <vt:variant>
        <vt:i4>0</vt:i4>
      </vt:variant>
      <vt:variant>
        <vt:i4>5</vt:i4>
      </vt:variant>
      <vt:variant>
        <vt:lpwstr/>
      </vt:variant>
      <vt:variant>
        <vt:lpwstr>_Toc437966098</vt:lpwstr>
      </vt:variant>
      <vt:variant>
        <vt:i4>1179701</vt:i4>
      </vt:variant>
      <vt:variant>
        <vt:i4>452</vt:i4>
      </vt:variant>
      <vt:variant>
        <vt:i4>0</vt:i4>
      </vt:variant>
      <vt:variant>
        <vt:i4>5</vt:i4>
      </vt:variant>
      <vt:variant>
        <vt:lpwstr/>
      </vt:variant>
      <vt:variant>
        <vt:lpwstr>_Toc437966097</vt:lpwstr>
      </vt:variant>
      <vt:variant>
        <vt:i4>1179701</vt:i4>
      </vt:variant>
      <vt:variant>
        <vt:i4>446</vt:i4>
      </vt:variant>
      <vt:variant>
        <vt:i4>0</vt:i4>
      </vt:variant>
      <vt:variant>
        <vt:i4>5</vt:i4>
      </vt:variant>
      <vt:variant>
        <vt:lpwstr/>
      </vt:variant>
      <vt:variant>
        <vt:lpwstr>_Toc437966096</vt:lpwstr>
      </vt:variant>
      <vt:variant>
        <vt:i4>1179701</vt:i4>
      </vt:variant>
      <vt:variant>
        <vt:i4>440</vt:i4>
      </vt:variant>
      <vt:variant>
        <vt:i4>0</vt:i4>
      </vt:variant>
      <vt:variant>
        <vt:i4>5</vt:i4>
      </vt:variant>
      <vt:variant>
        <vt:lpwstr/>
      </vt:variant>
      <vt:variant>
        <vt:lpwstr>_Toc437966095</vt:lpwstr>
      </vt:variant>
      <vt:variant>
        <vt:i4>1179701</vt:i4>
      </vt:variant>
      <vt:variant>
        <vt:i4>434</vt:i4>
      </vt:variant>
      <vt:variant>
        <vt:i4>0</vt:i4>
      </vt:variant>
      <vt:variant>
        <vt:i4>5</vt:i4>
      </vt:variant>
      <vt:variant>
        <vt:lpwstr/>
      </vt:variant>
      <vt:variant>
        <vt:lpwstr>_Toc437966094</vt:lpwstr>
      </vt:variant>
      <vt:variant>
        <vt:i4>1179701</vt:i4>
      </vt:variant>
      <vt:variant>
        <vt:i4>428</vt:i4>
      </vt:variant>
      <vt:variant>
        <vt:i4>0</vt:i4>
      </vt:variant>
      <vt:variant>
        <vt:i4>5</vt:i4>
      </vt:variant>
      <vt:variant>
        <vt:lpwstr/>
      </vt:variant>
      <vt:variant>
        <vt:lpwstr>_Toc437966093</vt:lpwstr>
      </vt:variant>
      <vt:variant>
        <vt:i4>1179701</vt:i4>
      </vt:variant>
      <vt:variant>
        <vt:i4>422</vt:i4>
      </vt:variant>
      <vt:variant>
        <vt:i4>0</vt:i4>
      </vt:variant>
      <vt:variant>
        <vt:i4>5</vt:i4>
      </vt:variant>
      <vt:variant>
        <vt:lpwstr/>
      </vt:variant>
      <vt:variant>
        <vt:lpwstr>_Toc437966092</vt:lpwstr>
      </vt:variant>
      <vt:variant>
        <vt:i4>1179701</vt:i4>
      </vt:variant>
      <vt:variant>
        <vt:i4>416</vt:i4>
      </vt:variant>
      <vt:variant>
        <vt:i4>0</vt:i4>
      </vt:variant>
      <vt:variant>
        <vt:i4>5</vt:i4>
      </vt:variant>
      <vt:variant>
        <vt:lpwstr/>
      </vt:variant>
      <vt:variant>
        <vt:lpwstr>_Toc437966091</vt:lpwstr>
      </vt:variant>
      <vt:variant>
        <vt:i4>1179701</vt:i4>
      </vt:variant>
      <vt:variant>
        <vt:i4>410</vt:i4>
      </vt:variant>
      <vt:variant>
        <vt:i4>0</vt:i4>
      </vt:variant>
      <vt:variant>
        <vt:i4>5</vt:i4>
      </vt:variant>
      <vt:variant>
        <vt:lpwstr/>
      </vt:variant>
      <vt:variant>
        <vt:lpwstr>_Toc437966090</vt:lpwstr>
      </vt:variant>
      <vt:variant>
        <vt:i4>1245237</vt:i4>
      </vt:variant>
      <vt:variant>
        <vt:i4>404</vt:i4>
      </vt:variant>
      <vt:variant>
        <vt:i4>0</vt:i4>
      </vt:variant>
      <vt:variant>
        <vt:i4>5</vt:i4>
      </vt:variant>
      <vt:variant>
        <vt:lpwstr/>
      </vt:variant>
      <vt:variant>
        <vt:lpwstr>_Toc437966089</vt:lpwstr>
      </vt:variant>
      <vt:variant>
        <vt:i4>1245237</vt:i4>
      </vt:variant>
      <vt:variant>
        <vt:i4>398</vt:i4>
      </vt:variant>
      <vt:variant>
        <vt:i4>0</vt:i4>
      </vt:variant>
      <vt:variant>
        <vt:i4>5</vt:i4>
      </vt:variant>
      <vt:variant>
        <vt:lpwstr/>
      </vt:variant>
      <vt:variant>
        <vt:lpwstr>_Toc437966088</vt:lpwstr>
      </vt:variant>
      <vt:variant>
        <vt:i4>1245237</vt:i4>
      </vt:variant>
      <vt:variant>
        <vt:i4>392</vt:i4>
      </vt:variant>
      <vt:variant>
        <vt:i4>0</vt:i4>
      </vt:variant>
      <vt:variant>
        <vt:i4>5</vt:i4>
      </vt:variant>
      <vt:variant>
        <vt:lpwstr/>
      </vt:variant>
      <vt:variant>
        <vt:lpwstr>_Toc437966087</vt:lpwstr>
      </vt:variant>
      <vt:variant>
        <vt:i4>1245237</vt:i4>
      </vt:variant>
      <vt:variant>
        <vt:i4>386</vt:i4>
      </vt:variant>
      <vt:variant>
        <vt:i4>0</vt:i4>
      </vt:variant>
      <vt:variant>
        <vt:i4>5</vt:i4>
      </vt:variant>
      <vt:variant>
        <vt:lpwstr/>
      </vt:variant>
      <vt:variant>
        <vt:lpwstr>_Toc437966086</vt:lpwstr>
      </vt:variant>
      <vt:variant>
        <vt:i4>1245237</vt:i4>
      </vt:variant>
      <vt:variant>
        <vt:i4>380</vt:i4>
      </vt:variant>
      <vt:variant>
        <vt:i4>0</vt:i4>
      </vt:variant>
      <vt:variant>
        <vt:i4>5</vt:i4>
      </vt:variant>
      <vt:variant>
        <vt:lpwstr/>
      </vt:variant>
      <vt:variant>
        <vt:lpwstr>_Toc437966085</vt:lpwstr>
      </vt:variant>
      <vt:variant>
        <vt:i4>1245237</vt:i4>
      </vt:variant>
      <vt:variant>
        <vt:i4>374</vt:i4>
      </vt:variant>
      <vt:variant>
        <vt:i4>0</vt:i4>
      </vt:variant>
      <vt:variant>
        <vt:i4>5</vt:i4>
      </vt:variant>
      <vt:variant>
        <vt:lpwstr/>
      </vt:variant>
      <vt:variant>
        <vt:lpwstr>_Toc437966084</vt:lpwstr>
      </vt:variant>
      <vt:variant>
        <vt:i4>1245237</vt:i4>
      </vt:variant>
      <vt:variant>
        <vt:i4>368</vt:i4>
      </vt:variant>
      <vt:variant>
        <vt:i4>0</vt:i4>
      </vt:variant>
      <vt:variant>
        <vt:i4>5</vt:i4>
      </vt:variant>
      <vt:variant>
        <vt:lpwstr/>
      </vt:variant>
      <vt:variant>
        <vt:lpwstr>_Toc437966083</vt:lpwstr>
      </vt:variant>
      <vt:variant>
        <vt:i4>1245237</vt:i4>
      </vt:variant>
      <vt:variant>
        <vt:i4>362</vt:i4>
      </vt:variant>
      <vt:variant>
        <vt:i4>0</vt:i4>
      </vt:variant>
      <vt:variant>
        <vt:i4>5</vt:i4>
      </vt:variant>
      <vt:variant>
        <vt:lpwstr/>
      </vt:variant>
      <vt:variant>
        <vt:lpwstr>_Toc437966082</vt:lpwstr>
      </vt:variant>
      <vt:variant>
        <vt:i4>1245237</vt:i4>
      </vt:variant>
      <vt:variant>
        <vt:i4>356</vt:i4>
      </vt:variant>
      <vt:variant>
        <vt:i4>0</vt:i4>
      </vt:variant>
      <vt:variant>
        <vt:i4>5</vt:i4>
      </vt:variant>
      <vt:variant>
        <vt:lpwstr/>
      </vt:variant>
      <vt:variant>
        <vt:lpwstr>_Toc437966081</vt:lpwstr>
      </vt:variant>
      <vt:variant>
        <vt:i4>1245237</vt:i4>
      </vt:variant>
      <vt:variant>
        <vt:i4>350</vt:i4>
      </vt:variant>
      <vt:variant>
        <vt:i4>0</vt:i4>
      </vt:variant>
      <vt:variant>
        <vt:i4>5</vt:i4>
      </vt:variant>
      <vt:variant>
        <vt:lpwstr/>
      </vt:variant>
      <vt:variant>
        <vt:lpwstr>_Toc437966080</vt:lpwstr>
      </vt:variant>
      <vt:variant>
        <vt:i4>1835061</vt:i4>
      </vt:variant>
      <vt:variant>
        <vt:i4>344</vt:i4>
      </vt:variant>
      <vt:variant>
        <vt:i4>0</vt:i4>
      </vt:variant>
      <vt:variant>
        <vt:i4>5</vt:i4>
      </vt:variant>
      <vt:variant>
        <vt:lpwstr/>
      </vt:variant>
      <vt:variant>
        <vt:lpwstr>_Toc437966079</vt:lpwstr>
      </vt:variant>
      <vt:variant>
        <vt:i4>1835061</vt:i4>
      </vt:variant>
      <vt:variant>
        <vt:i4>338</vt:i4>
      </vt:variant>
      <vt:variant>
        <vt:i4>0</vt:i4>
      </vt:variant>
      <vt:variant>
        <vt:i4>5</vt:i4>
      </vt:variant>
      <vt:variant>
        <vt:lpwstr/>
      </vt:variant>
      <vt:variant>
        <vt:lpwstr>_Toc437966078</vt:lpwstr>
      </vt:variant>
      <vt:variant>
        <vt:i4>1835061</vt:i4>
      </vt:variant>
      <vt:variant>
        <vt:i4>332</vt:i4>
      </vt:variant>
      <vt:variant>
        <vt:i4>0</vt:i4>
      </vt:variant>
      <vt:variant>
        <vt:i4>5</vt:i4>
      </vt:variant>
      <vt:variant>
        <vt:lpwstr/>
      </vt:variant>
      <vt:variant>
        <vt:lpwstr>_Toc437966077</vt:lpwstr>
      </vt:variant>
      <vt:variant>
        <vt:i4>1835061</vt:i4>
      </vt:variant>
      <vt:variant>
        <vt:i4>326</vt:i4>
      </vt:variant>
      <vt:variant>
        <vt:i4>0</vt:i4>
      </vt:variant>
      <vt:variant>
        <vt:i4>5</vt:i4>
      </vt:variant>
      <vt:variant>
        <vt:lpwstr/>
      </vt:variant>
      <vt:variant>
        <vt:lpwstr>_Toc437966076</vt:lpwstr>
      </vt:variant>
      <vt:variant>
        <vt:i4>1835061</vt:i4>
      </vt:variant>
      <vt:variant>
        <vt:i4>320</vt:i4>
      </vt:variant>
      <vt:variant>
        <vt:i4>0</vt:i4>
      </vt:variant>
      <vt:variant>
        <vt:i4>5</vt:i4>
      </vt:variant>
      <vt:variant>
        <vt:lpwstr/>
      </vt:variant>
      <vt:variant>
        <vt:lpwstr>_Toc437966075</vt:lpwstr>
      </vt:variant>
      <vt:variant>
        <vt:i4>1835061</vt:i4>
      </vt:variant>
      <vt:variant>
        <vt:i4>314</vt:i4>
      </vt:variant>
      <vt:variant>
        <vt:i4>0</vt:i4>
      </vt:variant>
      <vt:variant>
        <vt:i4>5</vt:i4>
      </vt:variant>
      <vt:variant>
        <vt:lpwstr/>
      </vt:variant>
      <vt:variant>
        <vt:lpwstr>_Toc437966074</vt:lpwstr>
      </vt:variant>
      <vt:variant>
        <vt:i4>1835061</vt:i4>
      </vt:variant>
      <vt:variant>
        <vt:i4>308</vt:i4>
      </vt:variant>
      <vt:variant>
        <vt:i4>0</vt:i4>
      </vt:variant>
      <vt:variant>
        <vt:i4>5</vt:i4>
      </vt:variant>
      <vt:variant>
        <vt:lpwstr/>
      </vt:variant>
      <vt:variant>
        <vt:lpwstr>_Toc437966073</vt:lpwstr>
      </vt:variant>
      <vt:variant>
        <vt:i4>1835061</vt:i4>
      </vt:variant>
      <vt:variant>
        <vt:i4>302</vt:i4>
      </vt:variant>
      <vt:variant>
        <vt:i4>0</vt:i4>
      </vt:variant>
      <vt:variant>
        <vt:i4>5</vt:i4>
      </vt:variant>
      <vt:variant>
        <vt:lpwstr/>
      </vt:variant>
      <vt:variant>
        <vt:lpwstr>_Toc437966072</vt:lpwstr>
      </vt:variant>
      <vt:variant>
        <vt:i4>1835061</vt:i4>
      </vt:variant>
      <vt:variant>
        <vt:i4>296</vt:i4>
      </vt:variant>
      <vt:variant>
        <vt:i4>0</vt:i4>
      </vt:variant>
      <vt:variant>
        <vt:i4>5</vt:i4>
      </vt:variant>
      <vt:variant>
        <vt:lpwstr/>
      </vt:variant>
      <vt:variant>
        <vt:lpwstr>_Toc437966071</vt:lpwstr>
      </vt:variant>
      <vt:variant>
        <vt:i4>1835061</vt:i4>
      </vt:variant>
      <vt:variant>
        <vt:i4>290</vt:i4>
      </vt:variant>
      <vt:variant>
        <vt:i4>0</vt:i4>
      </vt:variant>
      <vt:variant>
        <vt:i4>5</vt:i4>
      </vt:variant>
      <vt:variant>
        <vt:lpwstr/>
      </vt:variant>
      <vt:variant>
        <vt:lpwstr>_Toc437966070</vt:lpwstr>
      </vt:variant>
      <vt:variant>
        <vt:i4>1900597</vt:i4>
      </vt:variant>
      <vt:variant>
        <vt:i4>284</vt:i4>
      </vt:variant>
      <vt:variant>
        <vt:i4>0</vt:i4>
      </vt:variant>
      <vt:variant>
        <vt:i4>5</vt:i4>
      </vt:variant>
      <vt:variant>
        <vt:lpwstr/>
      </vt:variant>
      <vt:variant>
        <vt:lpwstr>_Toc437966069</vt:lpwstr>
      </vt:variant>
      <vt:variant>
        <vt:i4>1900597</vt:i4>
      </vt:variant>
      <vt:variant>
        <vt:i4>278</vt:i4>
      </vt:variant>
      <vt:variant>
        <vt:i4>0</vt:i4>
      </vt:variant>
      <vt:variant>
        <vt:i4>5</vt:i4>
      </vt:variant>
      <vt:variant>
        <vt:lpwstr/>
      </vt:variant>
      <vt:variant>
        <vt:lpwstr>_Toc437966068</vt:lpwstr>
      </vt:variant>
      <vt:variant>
        <vt:i4>1900597</vt:i4>
      </vt:variant>
      <vt:variant>
        <vt:i4>272</vt:i4>
      </vt:variant>
      <vt:variant>
        <vt:i4>0</vt:i4>
      </vt:variant>
      <vt:variant>
        <vt:i4>5</vt:i4>
      </vt:variant>
      <vt:variant>
        <vt:lpwstr/>
      </vt:variant>
      <vt:variant>
        <vt:lpwstr>_Toc437966067</vt:lpwstr>
      </vt:variant>
      <vt:variant>
        <vt:i4>1900597</vt:i4>
      </vt:variant>
      <vt:variant>
        <vt:i4>266</vt:i4>
      </vt:variant>
      <vt:variant>
        <vt:i4>0</vt:i4>
      </vt:variant>
      <vt:variant>
        <vt:i4>5</vt:i4>
      </vt:variant>
      <vt:variant>
        <vt:lpwstr/>
      </vt:variant>
      <vt:variant>
        <vt:lpwstr>_Toc437966066</vt:lpwstr>
      </vt:variant>
      <vt:variant>
        <vt:i4>1900597</vt:i4>
      </vt:variant>
      <vt:variant>
        <vt:i4>260</vt:i4>
      </vt:variant>
      <vt:variant>
        <vt:i4>0</vt:i4>
      </vt:variant>
      <vt:variant>
        <vt:i4>5</vt:i4>
      </vt:variant>
      <vt:variant>
        <vt:lpwstr/>
      </vt:variant>
      <vt:variant>
        <vt:lpwstr>_Toc437966065</vt:lpwstr>
      </vt:variant>
      <vt:variant>
        <vt:i4>1900597</vt:i4>
      </vt:variant>
      <vt:variant>
        <vt:i4>254</vt:i4>
      </vt:variant>
      <vt:variant>
        <vt:i4>0</vt:i4>
      </vt:variant>
      <vt:variant>
        <vt:i4>5</vt:i4>
      </vt:variant>
      <vt:variant>
        <vt:lpwstr/>
      </vt:variant>
      <vt:variant>
        <vt:lpwstr>_Toc437966064</vt:lpwstr>
      </vt:variant>
      <vt:variant>
        <vt:i4>1900597</vt:i4>
      </vt:variant>
      <vt:variant>
        <vt:i4>248</vt:i4>
      </vt:variant>
      <vt:variant>
        <vt:i4>0</vt:i4>
      </vt:variant>
      <vt:variant>
        <vt:i4>5</vt:i4>
      </vt:variant>
      <vt:variant>
        <vt:lpwstr/>
      </vt:variant>
      <vt:variant>
        <vt:lpwstr>_Toc437966063</vt:lpwstr>
      </vt:variant>
      <vt:variant>
        <vt:i4>1900597</vt:i4>
      </vt:variant>
      <vt:variant>
        <vt:i4>242</vt:i4>
      </vt:variant>
      <vt:variant>
        <vt:i4>0</vt:i4>
      </vt:variant>
      <vt:variant>
        <vt:i4>5</vt:i4>
      </vt:variant>
      <vt:variant>
        <vt:lpwstr/>
      </vt:variant>
      <vt:variant>
        <vt:lpwstr>_Toc437966062</vt:lpwstr>
      </vt:variant>
      <vt:variant>
        <vt:i4>1900597</vt:i4>
      </vt:variant>
      <vt:variant>
        <vt:i4>236</vt:i4>
      </vt:variant>
      <vt:variant>
        <vt:i4>0</vt:i4>
      </vt:variant>
      <vt:variant>
        <vt:i4>5</vt:i4>
      </vt:variant>
      <vt:variant>
        <vt:lpwstr/>
      </vt:variant>
      <vt:variant>
        <vt:lpwstr>_Toc437966061</vt:lpwstr>
      </vt:variant>
      <vt:variant>
        <vt:i4>1900597</vt:i4>
      </vt:variant>
      <vt:variant>
        <vt:i4>230</vt:i4>
      </vt:variant>
      <vt:variant>
        <vt:i4>0</vt:i4>
      </vt:variant>
      <vt:variant>
        <vt:i4>5</vt:i4>
      </vt:variant>
      <vt:variant>
        <vt:lpwstr/>
      </vt:variant>
      <vt:variant>
        <vt:lpwstr>_Toc437966060</vt:lpwstr>
      </vt:variant>
      <vt:variant>
        <vt:i4>1966133</vt:i4>
      </vt:variant>
      <vt:variant>
        <vt:i4>224</vt:i4>
      </vt:variant>
      <vt:variant>
        <vt:i4>0</vt:i4>
      </vt:variant>
      <vt:variant>
        <vt:i4>5</vt:i4>
      </vt:variant>
      <vt:variant>
        <vt:lpwstr/>
      </vt:variant>
      <vt:variant>
        <vt:lpwstr>_Toc437966059</vt:lpwstr>
      </vt:variant>
      <vt:variant>
        <vt:i4>1966133</vt:i4>
      </vt:variant>
      <vt:variant>
        <vt:i4>218</vt:i4>
      </vt:variant>
      <vt:variant>
        <vt:i4>0</vt:i4>
      </vt:variant>
      <vt:variant>
        <vt:i4>5</vt:i4>
      </vt:variant>
      <vt:variant>
        <vt:lpwstr/>
      </vt:variant>
      <vt:variant>
        <vt:lpwstr>_Toc437966058</vt:lpwstr>
      </vt:variant>
      <vt:variant>
        <vt:i4>1966133</vt:i4>
      </vt:variant>
      <vt:variant>
        <vt:i4>212</vt:i4>
      </vt:variant>
      <vt:variant>
        <vt:i4>0</vt:i4>
      </vt:variant>
      <vt:variant>
        <vt:i4>5</vt:i4>
      </vt:variant>
      <vt:variant>
        <vt:lpwstr/>
      </vt:variant>
      <vt:variant>
        <vt:lpwstr>_Toc437966057</vt:lpwstr>
      </vt:variant>
      <vt:variant>
        <vt:i4>1966133</vt:i4>
      </vt:variant>
      <vt:variant>
        <vt:i4>206</vt:i4>
      </vt:variant>
      <vt:variant>
        <vt:i4>0</vt:i4>
      </vt:variant>
      <vt:variant>
        <vt:i4>5</vt:i4>
      </vt:variant>
      <vt:variant>
        <vt:lpwstr/>
      </vt:variant>
      <vt:variant>
        <vt:lpwstr>_Toc437966056</vt:lpwstr>
      </vt:variant>
      <vt:variant>
        <vt:i4>1966133</vt:i4>
      </vt:variant>
      <vt:variant>
        <vt:i4>200</vt:i4>
      </vt:variant>
      <vt:variant>
        <vt:i4>0</vt:i4>
      </vt:variant>
      <vt:variant>
        <vt:i4>5</vt:i4>
      </vt:variant>
      <vt:variant>
        <vt:lpwstr/>
      </vt:variant>
      <vt:variant>
        <vt:lpwstr>_Toc437966055</vt:lpwstr>
      </vt:variant>
      <vt:variant>
        <vt:i4>1966133</vt:i4>
      </vt:variant>
      <vt:variant>
        <vt:i4>194</vt:i4>
      </vt:variant>
      <vt:variant>
        <vt:i4>0</vt:i4>
      </vt:variant>
      <vt:variant>
        <vt:i4>5</vt:i4>
      </vt:variant>
      <vt:variant>
        <vt:lpwstr/>
      </vt:variant>
      <vt:variant>
        <vt:lpwstr>_Toc437966054</vt:lpwstr>
      </vt:variant>
      <vt:variant>
        <vt:i4>1966133</vt:i4>
      </vt:variant>
      <vt:variant>
        <vt:i4>188</vt:i4>
      </vt:variant>
      <vt:variant>
        <vt:i4>0</vt:i4>
      </vt:variant>
      <vt:variant>
        <vt:i4>5</vt:i4>
      </vt:variant>
      <vt:variant>
        <vt:lpwstr/>
      </vt:variant>
      <vt:variant>
        <vt:lpwstr>_Toc437966053</vt:lpwstr>
      </vt:variant>
      <vt:variant>
        <vt:i4>1966133</vt:i4>
      </vt:variant>
      <vt:variant>
        <vt:i4>182</vt:i4>
      </vt:variant>
      <vt:variant>
        <vt:i4>0</vt:i4>
      </vt:variant>
      <vt:variant>
        <vt:i4>5</vt:i4>
      </vt:variant>
      <vt:variant>
        <vt:lpwstr/>
      </vt:variant>
      <vt:variant>
        <vt:lpwstr>_Toc437966052</vt:lpwstr>
      </vt:variant>
      <vt:variant>
        <vt:i4>1966133</vt:i4>
      </vt:variant>
      <vt:variant>
        <vt:i4>176</vt:i4>
      </vt:variant>
      <vt:variant>
        <vt:i4>0</vt:i4>
      </vt:variant>
      <vt:variant>
        <vt:i4>5</vt:i4>
      </vt:variant>
      <vt:variant>
        <vt:lpwstr/>
      </vt:variant>
      <vt:variant>
        <vt:lpwstr>_Toc437966051</vt:lpwstr>
      </vt:variant>
      <vt:variant>
        <vt:i4>1966133</vt:i4>
      </vt:variant>
      <vt:variant>
        <vt:i4>170</vt:i4>
      </vt:variant>
      <vt:variant>
        <vt:i4>0</vt:i4>
      </vt:variant>
      <vt:variant>
        <vt:i4>5</vt:i4>
      </vt:variant>
      <vt:variant>
        <vt:lpwstr/>
      </vt:variant>
      <vt:variant>
        <vt:lpwstr>_Toc437966050</vt:lpwstr>
      </vt:variant>
      <vt:variant>
        <vt:i4>2031669</vt:i4>
      </vt:variant>
      <vt:variant>
        <vt:i4>164</vt:i4>
      </vt:variant>
      <vt:variant>
        <vt:i4>0</vt:i4>
      </vt:variant>
      <vt:variant>
        <vt:i4>5</vt:i4>
      </vt:variant>
      <vt:variant>
        <vt:lpwstr/>
      </vt:variant>
      <vt:variant>
        <vt:lpwstr>_Toc437966049</vt:lpwstr>
      </vt:variant>
      <vt:variant>
        <vt:i4>2031669</vt:i4>
      </vt:variant>
      <vt:variant>
        <vt:i4>158</vt:i4>
      </vt:variant>
      <vt:variant>
        <vt:i4>0</vt:i4>
      </vt:variant>
      <vt:variant>
        <vt:i4>5</vt:i4>
      </vt:variant>
      <vt:variant>
        <vt:lpwstr/>
      </vt:variant>
      <vt:variant>
        <vt:lpwstr>_Toc437966048</vt:lpwstr>
      </vt:variant>
      <vt:variant>
        <vt:i4>2031669</vt:i4>
      </vt:variant>
      <vt:variant>
        <vt:i4>152</vt:i4>
      </vt:variant>
      <vt:variant>
        <vt:i4>0</vt:i4>
      </vt:variant>
      <vt:variant>
        <vt:i4>5</vt:i4>
      </vt:variant>
      <vt:variant>
        <vt:lpwstr/>
      </vt:variant>
      <vt:variant>
        <vt:lpwstr>_Toc437966047</vt:lpwstr>
      </vt:variant>
      <vt:variant>
        <vt:i4>2031669</vt:i4>
      </vt:variant>
      <vt:variant>
        <vt:i4>146</vt:i4>
      </vt:variant>
      <vt:variant>
        <vt:i4>0</vt:i4>
      </vt:variant>
      <vt:variant>
        <vt:i4>5</vt:i4>
      </vt:variant>
      <vt:variant>
        <vt:lpwstr/>
      </vt:variant>
      <vt:variant>
        <vt:lpwstr>_Toc437966046</vt:lpwstr>
      </vt:variant>
      <vt:variant>
        <vt:i4>2031669</vt:i4>
      </vt:variant>
      <vt:variant>
        <vt:i4>140</vt:i4>
      </vt:variant>
      <vt:variant>
        <vt:i4>0</vt:i4>
      </vt:variant>
      <vt:variant>
        <vt:i4>5</vt:i4>
      </vt:variant>
      <vt:variant>
        <vt:lpwstr/>
      </vt:variant>
      <vt:variant>
        <vt:lpwstr>_Toc437966045</vt:lpwstr>
      </vt:variant>
      <vt:variant>
        <vt:i4>2031669</vt:i4>
      </vt:variant>
      <vt:variant>
        <vt:i4>134</vt:i4>
      </vt:variant>
      <vt:variant>
        <vt:i4>0</vt:i4>
      </vt:variant>
      <vt:variant>
        <vt:i4>5</vt:i4>
      </vt:variant>
      <vt:variant>
        <vt:lpwstr/>
      </vt:variant>
      <vt:variant>
        <vt:lpwstr>_Toc437966044</vt:lpwstr>
      </vt:variant>
      <vt:variant>
        <vt:i4>2031669</vt:i4>
      </vt:variant>
      <vt:variant>
        <vt:i4>128</vt:i4>
      </vt:variant>
      <vt:variant>
        <vt:i4>0</vt:i4>
      </vt:variant>
      <vt:variant>
        <vt:i4>5</vt:i4>
      </vt:variant>
      <vt:variant>
        <vt:lpwstr/>
      </vt:variant>
      <vt:variant>
        <vt:lpwstr>_Toc437966043</vt:lpwstr>
      </vt:variant>
      <vt:variant>
        <vt:i4>2031669</vt:i4>
      </vt:variant>
      <vt:variant>
        <vt:i4>122</vt:i4>
      </vt:variant>
      <vt:variant>
        <vt:i4>0</vt:i4>
      </vt:variant>
      <vt:variant>
        <vt:i4>5</vt:i4>
      </vt:variant>
      <vt:variant>
        <vt:lpwstr/>
      </vt:variant>
      <vt:variant>
        <vt:lpwstr>_Toc437966042</vt:lpwstr>
      </vt:variant>
      <vt:variant>
        <vt:i4>2031669</vt:i4>
      </vt:variant>
      <vt:variant>
        <vt:i4>116</vt:i4>
      </vt:variant>
      <vt:variant>
        <vt:i4>0</vt:i4>
      </vt:variant>
      <vt:variant>
        <vt:i4>5</vt:i4>
      </vt:variant>
      <vt:variant>
        <vt:lpwstr/>
      </vt:variant>
      <vt:variant>
        <vt:lpwstr>_Toc437966041</vt:lpwstr>
      </vt:variant>
      <vt:variant>
        <vt:i4>2031669</vt:i4>
      </vt:variant>
      <vt:variant>
        <vt:i4>110</vt:i4>
      </vt:variant>
      <vt:variant>
        <vt:i4>0</vt:i4>
      </vt:variant>
      <vt:variant>
        <vt:i4>5</vt:i4>
      </vt:variant>
      <vt:variant>
        <vt:lpwstr/>
      </vt:variant>
      <vt:variant>
        <vt:lpwstr>_Toc437966040</vt:lpwstr>
      </vt:variant>
      <vt:variant>
        <vt:i4>1572917</vt:i4>
      </vt:variant>
      <vt:variant>
        <vt:i4>104</vt:i4>
      </vt:variant>
      <vt:variant>
        <vt:i4>0</vt:i4>
      </vt:variant>
      <vt:variant>
        <vt:i4>5</vt:i4>
      </vt:variant>
      <vt:variant>
        <vt:lpwstr/>
      </vt:variant>
      <vt:variant>
        <vt:lpwstr>_Toc437966039</vt:lpwstr>
      </vt:variant>
      <vt:variant>
        <vt:i4>1572917</vt:i4>
      </vt:variant>
      <vt:variant>
        <vt:i4>98</vt:i4>
      </vt:variant>
      <vt:variant>
        <vt:i4>0</vt:i4>
      </vt:variant>
      <vt:variant>
        <vt:i4>5</vt:i4>
      </vt:variant>
      <vt:variant>
        <vt:lpwstr/>
      </vt:variant>
      <vt:variant>
        <vt:lpwstr>_Toc437966038</vt:lpwstr>
      </vt:variant>
      <vt:variant>
        <vt:i4>1572917</vt:i4>
      </vt:variant>
      <vt:variant>
        <vt:i4>92</vt:i4>
      </vt:variant>
      <vt:variant>
        <vt:i4>0</vt:i4>
      </vt:variant>
      <vt:variant>
        <vt:i4>5</vt:i4>
      </vt:variant>
      <vt:variant>
        <vt:lpwstr/>
      </vt:variant>
      <vt:variant>
        <vt:lpwstr>_Toc437966037</vt:lpwstr>
      </vt:variant>
      <vt:variant>
        <vt:i4>1572917</vt:i4>
      </vt:variant>
      <vt:variant>
        <vt:i4>86</vt:i4>
      </vt:variant>
      <vt:variant>
        <vt:i4>0</vt:i4>
      </vt:variant>
      <vt:variant>
        <vt:i4>5</vt:i4>
      </vt:variant>
      <vt:variant>
        <vt:lpwstr/>
      </vt:variant>
      <vt:variant>
        <vt:lpwstr>_Toc437966036</vt:lpwstr>
      </vt:variant>
      <vt:variant>
        <vt:i4>1572917</vt:i4>
      </vt:variant>
      <vt:variant>
        <vt:i4>80</vt:i4>
      </vt:variant>
      <vt:variant>
        <vt:i4>0</vt:i4>
      </vt:variant>
      <vt:variant>
        <vt:i4>5</vt:i4>
      </vt:variant>
      <vt:variant>
        <vt:lpwstr/>
      </vt:variant>
      <vt:variant>
        <vt:lpwstr>_Toc437966035</vt:lpwstr>
      </vt:variant>
      <vt:variant>
        <vt:i4>1572917</vt:i4>
      </vt:variant>
      <vt:variant>
        <vt:i4>74</vt:i4>
      </vt:variant>
      <vt:variant>
        <vt:i4>0</vt:i4>
      </vt:variant>
      <vt:variant>
        <vt:i4>5</vt:i4>
      </vt:variant>
      <vt:variant>
        <vt:lpwstr/>
      </vt:variant>
      <vt:variant>
        <vt:lpwstr>_Toc437966034</vt:lpwstr>
      </vt:variant>
      <vt:variant>
        <vt:i4>1572917</vt:i4>
      </vt:variant>
      <vt:variant>
        <vt:i4>68</vt:i4>
      </vt:variant>
      <vt:variant>
        <vt:i4>0</vt:i4>
      </vt:variant>
      <vt:variant>
        <vt:i4>5</vt:i4>
      </vt:variant>
      <vt:variant>
        <vt:lpwstr/>
      </vt:variant>
      <vt:variant>
        <vt:lpwstr>_Toc437966033</vt:lpwstr>
      </vt:variant>
      <vt:variant>
        <vt:i4>1572917</vt:i4>
      </vt:variant>
      <vt:variant>
        <vt:i4>62</vt:i4>
      </vt:variant>
      <vt:variant>
        <vt:i4>0</vt:i4>
      </vt:variant>
      <vt:variant>
        <vt:i4>5</vt:i4>
      </vt:variant>
      <vt:variant>
        <vt:lpwstr/>
      </vt:variant>
      <vt:variant>
        <vt:lpwstr>_Toc437966032</vt:lpwstr>
      </vt:variant>
      <vt:variant>
        <vt:i4>1572917</vt:i4>
      </vt:variant>
      <vt:variant>
        <vt:i4>56</vt:i4>
      </vt:variant>
      <vt:variant>
        <vt:i4>0</vt:i4>
      </vt:variant>
      <vt:variant>
        <vt:i4>5</vt:i4>
      </vt:variant>
      <vt:variant>
        <vt:lpwstr/>
      </vt:variant>
      <vt:variant>
        <vt:lpwstr>_Toc437966031</vt:lpwstr>
      </vt:variant>
      <vt:variant>
        <vt:i4>1572917</vt:i4>
      </vt:variant>
      <vt:variant>
        <vt:i4>50</vt:i4>
      </vt:variant>
      <vt:variant>
        <vt:i4>0</vt:i4>
      </vt:variant>
      <vt:variant>
        <vt:i4>5</vt:i4>
      </vt:variant>
      <vt:variant>
        <vt:lpwstr/>
      </vt:variant>
      <vt:variant>
        <vt:lpwstr>_Toc437966030</vt:lpwstr>
      </vt:variant>
      <vt:variant>
        <vt:i4>1638453</vt:i4>
      </vt:variant>
      <vt:variant>
        <vt:i4>44</vt:i4>
      </vt:variant>
      <vt:variant>
        <vt:i4>0</vt:i4>
      </vt:variant>
      <vt:variant>
        <vt:i4>5</vt:i4>
      </vt:variant>
      <vt:variant>
        <vt:lpwstr/>
      </vt:variant>
      <vt:variant>
        <vt:lpwstr>_Toc437966029</vt:lpwstr>
      </vt:variant>
      <vt:variant>
        <vt:i4>1638453</vt:i4>
      </vt:variant>
      <vt:variant>
        <vt:i4>38</vt:i4>
      </vt:variant>
      <vt:variant>
        <vt:i4>0</vt:i4>
      </vt:variant>
      <vt:variant>
        <vt:i4>5</vt:i4>
      </vt:variant>
      <vt:variant>
        <vt:lpwstr/>
      </vt:variant>
      <vt:variant>
        <vt:lpwstr>_Toc437966028</vt:lpwstr>
      </vt:variant>
      <vt:variant>
        <vt:i4>1638453</vt:i4>
      </vt:variant>
      <vt:variant>
        <vt:i4>32</vt:i4>
      </vt:variant>
      <vt:variant>
        <vt:i4>0</vt:i4>
      </vt:variant>
      <vt:variant>
        <vt:i4>5</vt:i4>
      </vt:variant>
      <vt:variant>
        <vt:lpwstr/>
      </vt:variant>
      <vt:variant>
        <vt:lpwstr>_Toc437966027</vt:lpwstr>
      </vt:variant>
      <vt:variant>
        <vt:i4>1638453</vt:i4>
      </vt:variant>
      <vt:variant>
        <vt:i4>26</vt:i4>
      </vt:variant>
      <vt:variant>
        <vt:i4>0</vt:i4>
      </vt:variant>
      <vt:variant>
        <vt:i4>5</vt:i4>
      </vt:variant>
      <vt:variant>
        <vt:lpwstr/>
      </vt:variant>
      <vt:variant>
        <vt:lpwstr>_Toc437966026</vt:lpwstr>
      </vt:variant>
      <vt:variant>
        <vt:i4>1638453</vt:i4>
      </vt:variant>
      <vt:variant>
        <vt:i4>20</vt:i4>
      </vt:variant>
      <vt:variant>
        <vt:i4>0</vt:i4>
      </vt:variant>
      <vt:variant>
        <vt:i4>5</vt:i4>
      </vt:variant>
      <vt:variant>
        <vt:lpwstr/>
      </vt:variant>
      <vt:variant>
        <vt:lpwstr>_Toc437966025</vt:lpwstr>
      </vt:variant>
      <vt:variant>
        <vt:i4>1638453</vt:i4>
      </vt:variant>
      <vt:variant>
        <vt:i4>14</vt:i4>
      </vt:variant>
      <vt:variant>
        <vt:i4>0</vt:i4>
      </vt:variant>
      <vt:variant>
        <vt:i4>5</vt:i4>
      </vt:variant>
      <vt:variant>
        <vt:lpwstr/>
      </vt:variant>
      <vt:variant>
        <vt:lpwstr>_Toc437966024</vt:lpwstr>
      </vt:variant>
      <vt:variant>
        <vt:i4>1638453</vt:i4>
      </vt:variant>
      <vt:variant>
        <vt:i4>8</vt:i4>
      </vt:variant>
      <vt:variant>
        <vt:i4>0</vt:i4>
      </vt:variant>
      <vt:variant>
        <vt:i4>5</vt:i4>
      </vt:variant>
      <vt:variant>
        <vt:lpwstr/>
      </vt:variant>
      <vt:variant>
        <vt:lpwstr>_Toc437966023</vt:lpwstr>
      </vt:variant>
      <vt:variant>
        <vt:i4>1638453</vt:i4>
      </vt:variant>
      <vt:variant>
        <vt:i4>2</vt:i4>
      </vt:variant>
      <vt:variant>
        <vt:i4>0</vt:i4>
      </vt:variant>
      <vt:variant>
        <vt:i4>5</vt:i4>
      </vt:variant>
      <vt:variant>
        <vt:lpwstr/>
      </vt:variant>
      <vt:variant>
        <vt:lpwstr>_Toc437966022</vt:lpwstr>
      </vt:variant>
      <vt:variant>
        <vt:i4>65601</vt:i4>
      </vt:variant>
      <vt:variant>
        <vt:i4>15</vt:i4>
      </vt:variant>
      <vt:variant>
        <vt:i4>0</vt:i4>
      </vt:variant>
      <vt:variant>
        <vt:i4>5</vt:i4>
      </vt:variant>
      <vt:variant>
        <vt:lpwstr>http://www.iphan.org.br/</vt:lpwstr>
      </vt:variant>
      <vt:variant>
        <vt:lpwstr/>
      </vt:variant>
      <vt:variant>
        <vt:i4>3604529</vt:i4>
      </vt:variant>
      <vt:variant>
        <vt:i4>12</vt:i4>
      </vt:variant>
      <vt:variant>
        <vt:i4>0</vt:i4>
      </vt:variant>
      <vt:variant>
        <vt:i4>5</vt:i4>
      </vt:variant>
      <vt:variant>
        <vt:lpwstr>http://www.panoramio.com/photo/6092487</vt:lpwstr>
      </vt:variant>
      <vt:variant>
        <vt:lpwstr/>
      </vt:variant>
      <vt:variant>
        <vt:i4>196636</vt:i4>
      </vt:variant>
      <vt:variant>
        <vt:i4>9</vt:i4>
      </vt:variant>
      <vt:variant>
        <vt:i4>0</vt:i4>
      </vt:variant>
      <vt:variant>
        <vt:i4>5</vt:i4>
      </vt:variant>
      <vt:variant>
        <vt:lpwstr>http://noticias.ambientebrasil.com.br/clipping/2004/11/ 24/17045- equipes-de-resgate-encontram-peixe-ameacado-de-extincao-morto-no-litoral-do-parana.html</vt:lpwstr>
      </vt:variant>
      <vt:variant>
        <vt:lpwstr/>
      </vt:variant>
      <vt:variant>
        <vt:i4>196636</vt:i4>
      </vt:variant>
      <vt:variant>
        <vt:i4>6</vt:i4>
      </vt:variant>
      <vt:variant>
        <vt:i4>0</vt:i4>
      </vt:variant>
      <vt:variant>
        <vt:i4>5</vt:i4>
      </vt:variant>
      <vt:variant>
        <vt:lpwstr>http://noticias.ambientebrasil.com.br/clipping/2004/11/ 24/17045- equipes-de-resgate-encontram-peixe-ameacado-de-extincao-morto-no-litoral-do-parana.html</vt:lpwstr>
      </vt:variant>
      <vt:variant>
        <vt:lpwstr/>
      </vt:variant>
      <vt:variant>
        <vt:i4>6553655</vt:i4>
      </vt:variant>
      <vt:variant>
        <vt:i4>3</vt:i4>
      </vt:variant>
      <vt:variant>
        <vt:i4>0</vt:i4>
      </vt:variant>
      <vt:variant>
        <vt:i4>5</vt:i4>
      </vt:variant>
      <vt:variant>
        <vt:lpwstr>http://www.parana-online.com.br/editoria/especiais/news /101984/?noticia=MERO+DE+70+KG+E+ENCONTRADO+MORTO+NO+LITORAL+DO+PR</vt:lpwstr>
      </vt:variant>
      <vt:variant>
        <vt:lpwstr/>
      </vt:variant>
      <vt:variant>
        <vt:i4>7012408</vt:i4>
      </vt:variant>
      <vt:variant>
        <vt:i4>0</vt:i4>
      </vt:variant>
      <vt:variant>
        <vt:i4>0</vt:i4>
      </vt:variant>
      <vt:variant>
        <vt:i4>5</vt:i4>
      </vt:variant>
      <vt:variant>
        <vt:lpwstr>http://www.parana-online.com.br/editoria/especiais/ news/101984/?noticia=MERO+DE+70+KG+E+ENCONTRADO+MORTO+NO+LITORAL+DO+PR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g0047157</dc:creator>
  <cp:lastModifiedBy>Pigosso</cp:lastModifiedBy>
  <cp:revision>3</cp:revision>
  <cp:lastPrinted>2016-08-22T04:17:00Z</cp:lastPrinted>
  <dcterms:created xsi:type="dcterms:W3CDTF">2017-01-29T22:05:00Z</dcterms:created>
  <dcterms:modified xsi:type="dcterms:W3CDTF">2017-01-29T22:48:00Z</dcterms:modified>
</cp:coreProperties>
</file>