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96" w:rsidRPr="00F378C3" w:rsidRDefault="00DC4296" w:rsidP="006D211D">
      <w:pPr>
        <w:jc w:val="center"/>
        <w:rPr>
          <w:rFonts w:ascii="Century Schoolbook" w:hAnsi="Century Schoolbook"/>
          <w:b/>
          <w:sz w:val="18"/>
        </w:rPr>
      </w:pPr>
      <w:r w:rsidRPr="00F378C3">
        <w:rPr>
          <w:color w:val="0000FF"/>
          <w:sz w:val="16"/>
        </w:rPr>
        <w:object w:dxaOrig="1841" w:dyaOrig="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36.45pt" o:ole="" fillcolor="window">
            <v:imagedata r:id="rId7" o:title=""/>
          </v:shape>
          <o:OLEObject Type="Embed" ProgID="Word.Picture.8" ShapeID="_x0000_i1025" DrawAspect="Content" ObjectID="_1599566303" r:id="rId8"/>
        </w:object>
      </w:r>
    </w:p>
    <w:p w:rsidR="00DC4296" w:rsidRPr="00F378C3" w:rsidRDefault="00DC4296" w:rsidP="00DC4296">
      <w:pPr>
        <w:jc w:val="center"/>
        <w:rPr>
          <w:rFonts w:ascii="Century Schoolbook" w:hAnsi="Century Schoolbook"/>
          <w:b/>
          <w:sz w:val="18"/>
        </w:rPr>
      </w:pPr>
      <w:r w:rsidRPr="00F378C3">
        <w:rPr>
          <w:rFonts w:ascii="Century Schoolbook" w:hAnsi="Century Schoolbook"/>
          <w:b/>
          <w:sz w:val="18"/>
        </w:rPr>
        <w:t xml:space="preserve">Ministério da Educação </w:t>
      </w:r>
    </w:p>
    <w:p w:rsidR="00DC4296" w:rsidRPr="00F378C3" w:rsidRDefault="00DC4296" w:rsidP="00DC4296">
      <w:pPr>
        <w:jc w:val="center"/>
        <w:rPr>
          <w:rFonts w:ascii="Century Schoolbook" w:hAnsi="Century Schoolbook"/>
          <w:b/>
          <w:sz w:val="18"/>
        </w:rPr>
      </w:pPr>
      <w:r w:rsidRPr="00F378C3">
        <w:rPr>
          <w:rFonts w:ascii="Century Schoolbook" w:hAnsi="Century Schoolbook"/>
          <w:b/>
          <w:sz w:val="18"/>
        </w:rPr>
        <w:t>Universidade Federal do Paraná</w:t>
      </w:r>
    </w:p>
    <w:p w:rsidR="00F651FE" w:rsidRPr="00F378C3" w:rsidRDefault="00F651FE" w:rsidP="00DC4296">
      <w:pPr>
        <w:jc w:val="center"/>
        <w:rPr>
          <w:rFonts w:ascii="Century Schoolbook" w:hAnsi="Century Schoolbook"/>
          <w:b/>
          <w:sz w:val="18"/>
        </w:rPr>
      </w:pPr>
      <w:r w:rsidRPr="00F378C3">
        <w:rPr>
          <w:rFonts w:ascii="Century Schoolbook" w:hAnsi="Century Schoolbook"/>
          <w:b/>
          <w:sz w:val="18"/>
        </w:rPr>
        <w:t xml:space="preserve">Departamento de </w:t>
      </w:r>
      <w:r w:rsidR="00B9172D" w:rsidRPr="00F378C3">
        <w:rPr>
          <w:rFonts w:ascii="Century Schoolbook" w:hAnsi="Century Schoolbook"/>
          <w:b/>
          <w:sz w:val="18"/>
        </w:rPr>
        <w:t>E</w:t>
      </w:r>
      <w:r w:rsidRPr="00F378C3">
        <w:rPr>
          <w:rFonts w:ascii="Century Schoolbook" w:hAnsi="Century Schoolbook"/>
          <w:b/>
          <w:sz w:val="18"/>
        </w:rPr>
        <w:t>conomia</w:t>
      </w:r>
    </w:p>
    <w:p w:rsidR="00DC4296" w:rsidRPr="00F378C3" w:rsidRDefault="006D211D" w:rsidP="00DC4296">
      <w:pPr>
        <w:jc w:val="center"/>
        <w:rPr>
          <w:rFonts w:ascii="Century Schoolbook" w:hAnsi="Century Schoolbook"/>
          <w:b/>
          <w:sz w:val="18"/>
        </w:rPr>
      </w:pPr>
      <w:r w:rsidRPr="00F378C3">
        <w:rPr>
          <w:rFonts w:ascii="Century Schoolbook" w:hAnsi="Century Schoolbook"/>
          <w:b/>
          <w:sz w:val="18"/>
        </w:rPr>
        <w:t xml:space="preserve">PPGDE - </w:t>
      </w:r>
      <w:r w:rsidR="0005364F" w:rsidRPr="00F378C3">
        <w:rPr>
          <w:rFonts w:ascii="Century Schoolbook" w:hAnsi="Century Schoolbook"/>
          <w:b/>
          <w:sz w:val="18"/>
        </w:rPr>
        <w:t>Programa de Pós</w:t>
      </w:r>
      <w:r w:rsidR="00DC4296" w:rsidRPr="00F378C3">
        <w:rPr>
          <w:rFonts w:ascii="Century Schoolbook" w:hAnsi="Century Schoolbook"/>
          <w:b/>
          <w:sz w:val="18"/>
        </w:rPr>
        <w:t xml:space="preserve">-Graduação </w:t>
      </w:r>
      <w:r w:rsidR="0005364F" w:rsidRPr="00F378C3">
        <w:rPr>
          <w:rFonts w:ascii="Century Schoolbook" w:hAnsi="Century Schoolbook"/>
          <w:b/>
          <w:sz w:val="18"/>
        </w:rPr>
        <w:t>em Desenvolvimento</w:t>
      </w:r>
      <w:r w:rsidR="00E23DFA" w:rsidRPr="00F378C3">
        <w:rPr>
          <w:rFonts w:ascii="Century Schoolbook" w:hAnsi="Century Schoolbook"/>
          <w:b/>
          <w:sz w:val="18"/>
        </w:rPr>
        <w:t xml:space="preserve"> Econômico</w:t>
      </w:r>
    </w:p>
    <w:p w:rsidR="003A11FA" w:rsidRPr="00F378C3" w:rsidRDefault="00DC4296" w:rsidP="00DC4296">
      <w:pPr>
        <w:jc w:val="center"/>
        <w:rPr>
          <w:rFonts w:ascii="Century Schoolbook" w:hAnsi="Century Schoolbook"/>
          <w:b/>
          <w:sz w:val="18"/>
        </w:rPr>
      </w:pPr>
      <w:r w:rsidRPr="00F378C3">
        <w:rPr>
          <w:rFonts w:ascii="Century Schoolbook" w:hAnsi="Century Schoolbook"/>
          <w:b/>
          <w:sz w:val="18"/>
        </w:rPr>
        <w:t xml:space="preserve"> Mestrado</w:t>
      </w:r>
      <w:r w:rsidR="00E23DFA" w:rsidRPr="00F378C3">
        <w:rPr>
          <w:rFonts w:ascii="Century Schoolbook" w:hAnsi="Century Schoolbook"/>
          <w:b/>
          <w:sz w:val="18"/>
        </w:rPr>
        <w:t xml:space="preserve"> –</w:t>
      </w:r>
      <w:r w:rsidRPr="00F378C3">
        <w:rPr>
          <w:rFonts w:ascii="Century Schoolbook" w:hAnsi="Century Schoolbook"/>
          <w:b/>
          <w:sz w:val="18"/>
        </w:rPr>
        <w:t xml:space="preserve"> Doutorado</w:t>
      </w:r>
      <w:r w:rsidR="005053D2" w:rsidRPr="00F378C3">
        <w:rPr>
          <w:rFonts w:ascii="Century Schoolbook" w:hAnsi="Century Schoolbook"/>
          <w:b/>
          <w:sz w:val="18"/>
        </w:rPr>
        <w:t xml:space="preserve"> </w:t>
      </w:r>
    </w:p>
    <w:p w:rsidR="0037089B" w:rsidRPr="00F378C3" w:rsidRDefault="0037089B" w:rsidP="0037089B">
      <w:pPr>
        <w:rPr>
          <w:rFonts w:ascii="Century Schoolbook" w:hAnsi="Century Schoolbook"/>
          <w:b/>
          <w:sz w:val="18"/>
        </w:rPr>
      </w:pPr>
    </w:p>
    <w:p w:rsidR="0037089B" w:rsidRPr="00F378C3" w:rsidRDefault="0037089B" w:rsidP="0037089B">
      <w:pPr>
        <w:rPr>
          <w:rFonts w:ascii="Century Schoolbook" w:hAnsi="Century Schoolbook"/>
          <w:b/>
          <w:szCs w:val="24"/>
        </w:rPr>
      </w:pPr>
      <w:r w:rsidRPr="00F378C3">
        <w:rPr>
          <w:rFonts w:ascii="Century Schoolbook" w:hAnsi="Century Schoolbook"/>
          <w:b/>
          <w:szCs w:val="24"/>
        </w:rPr>
        <w:t>Primeiro semestre de 201</w:t>
      </w:r>
      <w:r w:rsidR="005A2FF9">
        <w:rPr>
          <w:rFonts w:ascii="Century Schoolbook" w:hAnsi="Century Schoolbook"/>
          <w:b/>
          <w:szCs w:val="24"/>
        </w:rPr>
        <w:t>8</w:t>
      </w:r>
    </w:p>
    <w:p w:rsidR="005053D2" w:rsidRPr="00F378C3" w:rsidRDefault="0037089B" w:rsidP="0037089B">
      <w:pPr>
        <w:rPr>
          <w:rFonts w:ascii="Century Schoolbook" w:hAnsi="Century Schoolbook"/>
          <w:b/>
          <w:szCs w:val="24"/>
        </w:rPr>
      </w:pPr>
      <w:r w:rsidRPr="00F378C3">
        <w:rPr>
          <w:rFonts w:ascii="Century Schoolbook" w:hAnsi="Century Schoolbook"/>
          <w:b/>
          <w:szCs w:val="24"/>
        </w:rPr>
        <w:t xml:space="preserve">Professor: </w:t>
      </w:r>
      <w:r w:rsidR="0005364F" w:rsidRPr="00F378C3">
        <w:rPr>
          <w:rFonts w:ascii="Century Schoolbook" w:hAnsi="Century Schoolbook"/>
          <w:szCs w:val="24"/>
        </w:rPr>
        <w:t>Junior Ruiz Garci</w:t>
      </w:r>
      <w:bookmarkStart w:id="0" w:name="_GoBack"/>
      <w:bookmarkEnd w:id="0"/>
      <w:r w:rsidR="0005364F" w:rsidRPr="00F378C3">
        <w:rPr>
          <w:rFonts w:ascii="Century Schoolbook" w:hAnsi="Century Schoolbook"/>
          <w:szCs w:val="24"/>
        </w:rPr>
        <w:t>a</w:t>
      </w:r>
    </w:p>
    <w:p w:rsidR="0037089B" w:rsidRPr="00F378C3" w:rsidRDefault="0037089B" w:rsidP="0037089B">
      <w:pPr>
        <w:rPr>
          <w:rFonts w:ascii="Century Schoolbook" w:hAnsi="Century Schoolbook"/>
          <w:b/>
          <w:szCs w:val="24"/>
        </w:rPr>
      </w:pPr>
    </w:p>
    <w:p w:rsidR="005053D2" w:rsidRPr="00F378C3" w:rsidRDefault="0037089B" w:rsidP="0037089B">
      <w:pPr>
        <w:rPr>
          <w:rFonts w:ascii="Century Schoolbook" w:hAnsi="Century Schoolbook"/>
          <w:b/>
          <w:szCs w:val="24"/>
        </w:rPr>
      </w:pPr>
      <w:r w:rsidRPr="00F378C3">
        <w:rPr>
          <w:rFonts w:ascii="Century Schoolbook" w:hAnsi="Century Schoolbook"/>
          <w:b/>
          <w:szCs w:val="24"/>
        </w:rPr>
        <w:t xml:space="preserve">Programa da Disciplina: </w:t>
      </w:r>
      <w:r w:rsidR="0005364F" w:rsidRPr="00F378C3">
        <w:rPr>
          <w:rFonts w:ascii="Century Schoolbook" w:hAnsi="Century Schoolbook"/>
          <w:szCs w:val="24"/>
        </w:rPr>
        <w:t>Economia Ecológica (DEC760)</w:t>
      </w:r>
    </w:p>
    <w:p w:rsidR="00925307" w:rsidRPr="00F378C3" w:rsidRDefault="00925307" w:rsidP="0037089B">
      <w:pPr>
        <w:rPr>
          <w:rFonts w:ascii="Century Schoolbook" w:hAnsi="Century Schoolbook"/>
          <w:b/>
          <w:szCs w:val="24"/>
        </w:rPr>
      </w:pPr>
    </w:p>
    <w:p w:rsidR="00925307" w:rsidRPr="00F378C3" w:rsidRDefault="00925307" w:rsidP="00925307">
      <w:pPr>
        <w:rPr>
          <w:rFonts w:ascii="Century Schoolbook" w:hAnsi="Century Schoolbook"/>
          <w:b/>
          <w:szCs w:val="24"/>
        </w:rPr>
      </w:pPr>
      <w:r w:rsidRPr="00F378C3">
        <w:rPr>
          <w:rFonts w:ascii="Century Schoolbook" w:hAnsi="Century Schoolbook"/>
          <w:b/>
          <w:szCs w:val="24"/>
        </w:rPr>
        <w:t xml:space="preserve">Carga horária da disciplina: </w:t>
      </w:r>
      <w:r w:rsidRPr="00F378C3">
        <w:rPr>
          <w:rFonts w:ascii="Century Schoolbook" w:hAnsi="Century Schoolbook"/>
          <w:szCs w:val="24"/>
        </w:rPr>
        <w:t>60 horas/aulas</w:t>
      </w:r>
    </w:p>
    <w:p w:rsidR="00925307" w:rsidRPr="00F378C3" w:rsidRDefault="00925307" w:rsidP="00925307">
      <w:pPr>
        <w:rPr>
          <w:rFonts w:ascii="Century Schoolbook" w:hAnsi="Century Schoolbook"/>
          <w:b/>
          <w:szCs w:val="24"/>
        </w:rPr>
      </w:pPr>
    </w:p>
    <w:p w:rsidR="00925307" w:rsidRPr="00F378C3" w:rsidRDefault="00925307" w:rsidP="00925307">
      <w:pPr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b/>
          <w:szCs w:val="24"/>
        </w:rPr>
        <w:t>Dia/horário</w:t>
      </w:r>
      <w:r w:rsidR="003D475D" w:rsidRPr="00F378C3">
        <w:rPr>
          <w:rFonts w:ascii="Century Schoolbook" w:hAnsi="Century Schoolbook"/>
          <w:b/>
          <w:szCs w:val="24"/>
        </w:rPr>
        <w:t>/local</w:t>
      </w:r>
      <w:r w:rsidRPr="00F378C3">
        <w:rPr>
          <w:rFonts w:ascii="Century Schoolbook" w:hAnsi="Century Schoolbook"/>
          <w:b/>
          <w:szCs w:val="24"/>
        </w:rPr>
        <w:t xml:space="preserve">: </w:t>
      </w:r>
      <w:r w:rsidRPr="00F378C3">
        <w:rPr>
          <w:rFonts w:ascii="Century Schoolbook" w:hAnsi="Century Schoolbook"/>
          <w:szCs w:val="24"/>
        </w:rPr>
        <w:t xml:space="preserve">segunda-feira, das 14h às </w:t>
      </w:r>
      <w:r w:rsidR="003D475D" w:rsidRPr="00F378C3">
        <w:rPr>
          <w:rFonts w:ascii="Century Schoolbook" w:hAnsi="Century Schoolbook"/>
          <w:szCs w:val="24"/>
        </w:rPr>
        <w:t>18h, sala 28</w:t>
      </w:r>
    </w:p>
    <w:p w:rsidR="003D475D" w:rsidRPr="00F378C3" w:rsidRDefault="003D475D" w:rsidP="00925307">
      <w:pPr>
        <w:rPr>
          <w:rFonts w:ascii="Century Schoolbook" w:hAnsi="Century Schoolbook"/>
          <w:szCs w:val="24"/>
        </w:rPr>
      </w:pPr>
    </w:p>
    <w:p w:rsidR="003D475D" w:rsidRPr="00F378C3" w:rsidRDefault="009A6F35" w:rsidP="009A6F35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b/>
          <w:szCs w:val="24"/>
        </w:rPr>
        <w:t>Ementa:</w:t>
      </w:r>
      <w:r w:rsidRPr="00F378C3">
        <w:rPr>
          <w:rFonts w:ascii="Century Schoolbook" w:hAnsi="Century Schoolbook"/>
          <w:szCs w:val="24"/>
        </w:rPr>
        <w:t xml:space="preserve"> transição de um “mundo vazio” (</w:t>
      </w:r>
      <w:r w:rsidRPr="00F378C3">
        <w:rPr>
          <w:rFonts w:ascii="Century Schoolbook" w:hAnsi="Century Schoolbook"/>
          <w:i/>
          <w:szCs w:val="24"/>
        </w:rPr>
        <w:t>empty world</w:t>
      </w:r>
      <w:r w:rsidRPr="00F378C3">
        <w:rPr>
          <w:rFonts w:ascii="Century Schoolbook" w:hAnsi="Century Schoolbook"/>
          <w:szCs w:val="24"/>
        </w:rPr>
        <w:t>) para um “mundo cheio” (</w:t>
      </w:r>
      <w:r w:rsidRPr="00F378C3">
        <w:rPr>
          <w:rFonts w:ascii="Century Schoolbook" w:hAnsi="Century Schoolbook"/>
          <w:i/>
          <w:szCs w:val="24"/>
        </w:rPr>
        <w:t>full world</w:t>
      </w:r>
      <w:r w:rsidRPr="00F378C3">
        <w:rPr>
          <w:rFonts w:ascii="Century Schoolbook" w:hAnsi="Century Schoolbook"/>
          <w:szCs w:val="24"/>
        </w:rPr>
        <w:t>); surgimento e desafios do paradigma do desenvolvimento sustentável; economia e desenvolvimento sustentável; economia do meio ambiente; economia ecológica; macroeconomia ecológica.</w:t>
      </w:r>
    </w:p>
    <w:p w:rsidR="009A6F35" w:rsidRPr="00F378C3" w:rsidRDefault="009A6F35" w:rsidP="009A6F35">
      <w:pPr>
        <w:jc w:val="both"/>
        <w:rPr>
          <w:rFonts w:ascii="Century Schoolbook" w:hAnsi="Century Schoolbook"/>
          <w:szCs w:val="24"/>
        </w:rPr>
      </w:pPr>
    </w:p>
    <w:p w:rsidR="009A6F35" w:rsidRPr="00F378C3" w:rsidRDefault="009A6F35" w:rsidP="009A6F35">
      <w:pPr>
        <w:jc w:val="both"/>
        <w:rPr>
          <w:rFonts w:ascii="Century Schoolbook" w:hAnsi="Century Schoolbook"/>
          <w:b/>
          <w:szCs w:val="24"/>
        </w:rPr>
      </w:pPr>
      <w:r w:rsidRPr="00F378C3">
        <w:rPr>
          <w:rFonts w:ascii="Century Schoolbook" w:hAnsi="Century Schoolbook"/>
          <w:b/>
          <w:szCs w:val="24"/>
        </w:rPr>
        <w:t>Objetivos:</w:t>
      </w:r>
    </w:p>
    <w:p w:rsidR="009A6F35" w:rsidRPr="00F378C3" w:rsidRDefault="009A6F35" w:rsidP="009A6F35">
      <w:pPr>
        <w:jc w:val="both"/>
        <w:rPr>
          <w:rFonts w:ascii="Century Schoolbook" w:hAnsi="Century Schoolbook"/>
          <w:szCs w:val="24"/>
        </w:rPr>
      </w:pPr>
    </w:p>
    <w:p w:rsidR="009A6F35" w:rsidRPr="00F378C3" w:rsidRDefault="009A6F35" w:rsidP="009A6F35">
      <w:pPr>
        <w:numPr>
          <w:ilvl w:val="0"/>
          <w:numId w:val="10"/>
        </w:num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b/>
          <w:szCs w:val="24"/>
        </w:rPr>
        <w:t>Geral:</w:t>
      </w:r>
      <w:r w:rsidRPr="00F378C3">
        <w:rPr>
          <w:rFonts w:ascii="Century Schoolbook" w:hAnsi="Century Schoolbook"/>
          <w:szCs w:val="24"/>
        </w:rPr>
        <w:t xml:space="preserve"> discutir as implicações dos desafios postos pelo paradigma do desenvolvimento sustentável na </w:t>
      </w:r>
      <w:r w:rsidR="00C72F37" w:rsidRPr="00F378C3">
        <w:rPr>
          <w:rFonts w:ascii="Century Schoolbook" w:hAnsi="Century Schoolbook"/>
          <w:szCs w:val="24"/>
        </w:rPr>
        <w:t xml:space="preserve">sociedade e na </w:t>
      </w:r>
      <w:r w:rsidRPr="00F378C3">
        <w:rPr>
          <w:rFonts w:ascii="Century Schoolbook" w:hAnsi="Century Schoolbook"/>
          <w:szCs w:val="24"/>
        </w:rPr>
        <w:t>análise econômica.</w:t>
      </w:r>
    </w:p>
    <w:p w:rsidR="009A6F35" w:rsidRPr="00F378C3" w:rsidRDefault="009A6F35" w:rsidP="009A6F35">
      <w:pPr>
        <w:numPr>
          <w:ilvl w:val="0"/>
          <w:numId w:val="10"/>
        </w:num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b/>
          <w:szCs w:val="24"/>
        </w:rPr>
        <w:t>Específicos:</w:t>
      </w:r>
      <w:r w:rsidRPr="00F378C3">
        <w:rPr>
          <w:rFonts w:ascii="Century Schoolbook" w:hAnsi="Century Schoolbook"/>
          <w:szCs w:val="24"/>
        </w:rPr>
        <w:t xml:space="preserve"> i) apresentar o paradigma do desenvolvimento sustentável; ii) identificar os desafios postos pelo paradigma do desenvolvimento sustentável; iii) discutir as implicações d</w:t>
      </w:r>
      <w:r w:rsidR="002D4F66" w:rsidRPr="00F378C3">
        <w:rPr>
          <w:rFonts w:ascii="Century Schoolbook" w:hAnsi="Century Schoolbook"/>
          <w:szCs w:val="24"/>
        </w:rPr>
        <w:t>o paradigma do desenvolvimento sustentável na análise econômica; iv) discutir a necessidade de uma macroeconomia econômico-ecológica para subsidiar a análise econômica e a formulação de políticas econômicas mais adequadas ao contexto do paradigma do desenvolvimento sustentável.</w:t>
      </w:r>
    </w:p>
    <w:p w:rsidR="009A6F35" w:rsidRPr="00F378C3" w:rsidRDefault="009A6F35" w:rsidP="009A6F35">
      <w:pPr>
        <w:jc w:val="both"/>
        <w:rPr>
          <w:rFonts w:ascii="Century Schoolbook" w:hAnsi="Century Schoolbook"/>
          <w:szCs w:val="24"/>
        </w:rPr>
      </w:pPr>
    </w:p>
    <w:p w:rsidR="002D4F66" w:rsidRPr="00F378C3" w:rsidRDefault="00E030C1" w:rsidP="009A6F35">
      <w:pPr>
        <w:jc w:val="both"/>
        <w:rPr>
          <w:rFonts w:ascii="Century Schoolbook" w:hAnsi="Century Schoolbook"/>
          <w:b/>
          <w:szCs w:val="24"/>
        </w:rPr>
      </w:pPr>
      <w:r w:rsidRPr="00F378C3">
        <w:rPr>
          <w:rFonts w:ascii="Century Schoolbook" w:hAnsi="Century Schoolbook"/>
          <w:b/>
          <w:szCs w:val="24"/>
        </w:rPr>
        <w:t>Conteúdo programático:</w:t>
      </w:r>
    </w:p>
    <w:p w:rsidR="00E030C1" w:rsidRPr="00F378C3" w:rsidRDefault="00E030C1" w:rsidP="009A6F35">
      <w:pPr>
        <w:jc w:val="both"/>
        <w:rPr>
          <w:rFonts w:ascii="Century Schoolbook" w:hAnsi="Century Schoolbook"/>
          <w:szCs w:val="24"/>
        </w:rPr>
      </w:pPr>
    </w:p>
    <w:p w:rsidR="00E030C1" w:rsidRPr="00F378C3" w:rsidRDefault="00E030C1" w:rsidP="00E030C1">
      <w:pPr>
        <w:numPr>
          <w:ilvl w:val="0"/>
          <w:numId w:val="11"/>
        </w:num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Transição de um “mundo vazio” para um “mundo cheio”;</w:t>
      </w:r>
    </w:p>
    <w:p w:rsidR="002918B4" w:rsidRPr="00F378C3" w:rsidRDefault="002918B4" w:rsidP="00E030C1">
      <w:pPr>
        <w:numPr>
          <w:ilvl w:val="0"/>
          <w:numId w:val="11"/>
        </w:num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O Paradigma do desenvolvimento sustentável;</w:t>
      </w:r>
    </w:p>
    <w:p w:rsidR="00E030C1" w:rsidRPr="00F378C3" w:rsidRDefault="00E030C1" w:rsidP="00E030C1">
      <w:pPr>
        <w:numPr>
          <w:ilvl w:val="0"/>
          <w:numId w:val="11"/>
        </w:num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Desafios postos pelo paradigma do desenvolvimento sustentável;</w:t>
      </w:r>
    </w:p>
    <w:p w:rsidR="00E030C1" w:rsidRPr="00F378C3" w:rsidRDefault="00E030C1" w:rsidP="00E030C1">
      <w:pPr>
        <w:numPr>
          <w:ilvl w:val="0"/>
          <w:numId w:val="11"/>
        </w:num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Economia e desenvolvimento sustentável;</w:t>
      </w:r>
    </w:p>
    <w:p w:rsidR="00E030C1" w:rsidRPr="00F378C3" w:rsidRDefault="00E030C1" w:rsidP="00E030C1">
      <w:pPr>
        <w:numPr>
          <w:ilvl w:val="0"/>
          <w:numId w:val="11"/>
        </w:num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Economia do meio ambiente;</w:t>
      </w:r>
    </w:p>
    <w:p w:rsidR="00E030C1" w:rsidRPr="00F378C3" w:rsidRDefault="00E030C1" w:rsidP="00E030C1">
      <w:pPr>
        <w:numPr>
          <w:ilvl w:val="0"/>
          <w:numId w:val="11"/>
        </w:num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Economia ecológica;</w:t>
      </w:r>
    </w:p>
    <w:p w:rsidR="00E030C1" w:rsidRPr="00F378C3" w:rsidRDefault="00E030C1" w:rsidP="00E030C1">
      <w:pPr>
        <w:numPr>
          <w:ilvl w:val="0"/>
          <w:numId w:val="11"/>
        </w:num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Macroeconomia ecológica.</w:t>
      </w:r>
    </w:p>
    <w:p w:rsidR="00E030C1" w:rsidRPr="00F378C3" w:rsidRDefault="00E030C1" w:rsidP="00E030C1">
      <w:pPr>
        <w:jc w:val="both"/>
        <w:rPr>
          <w:rFonts w:ascii="Century Schoolbook" w:hAnsi="Century Schoolbook"/>
          <w:szCs w:val="24"/>
        </w:rPr>
      </w:pPr>
    </w:p>
    <w:p w:rsidR="00E030C1" w:rsidRPr="00F378C3" w:rsidRDefault="00E030C1" w:rsidP="00E030C1">
      <w:pPr>
        <w:jc w:val="both"/>
        <w:rPr>
          <w:rFonts w:ascii="Century Schoolbook" w:hAnsi="Century Schoolbook"/>
          <w:b/>
          <w:szCs w:val="24"/>
        </w:rPr>
      </w:pPr>
      <w:r w:rsidRPr="00F378C3">
        <w:rPr>
          <w:rFonts w:ascii="Century Schoolbook" w:hAnsi="Century Schoolbook"/>
          <w:b/>
          <w:szCs w:val="24"/>
        </w:rPr>
        <w:t>Referências bibliográficas</w:t>
      </w:r>
      <w:r w:rsidR="007F3D21" w:rsidRPr="00F378C3">
        <w:rPr>
          <w:rFonts w:ascii="Century Schoolbook" w:hAnsi="Century Schoolbook"/>
          <w:b/>
          <w:szCs w:val="24"/>
        </w:rPr>
        <w:t xml:space="preserve"> básicas</w:t>
      </w:r>
    </w:p>
    <w:p w:rsidR="00E030C1" w:rsidRPr="00F378C3" w:rsidRDefault="00E030C1" w:rsidP="00E030C1">
      <w:pPr>
        <w:jc w:val="both"/>
        <w:rPr>
          <w:rFonts w:ascii="Century Schoolbook" w:hAnsi="Century Schoolbook"/>
          <w:szCs w:val="24"/>
        </w:rPr>
      </w:pP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>Abramovay, R.</w:t>
      </w:r>
      <w:r w:rsidRPr="00F378C3">
        <w:rPr>
          <w:rFonts w:ascii="Century Schoolbook" w:hAnsi="Century Schoolbook"/>
          <w:szCs w:val="24"/>
        </w:rPr>
        <w:t xml:space="preserve"> Desenvolvimento Sustentável: qual a estratégia para o Brasil?  Novos Estudos, 87, p. 97-113, 2010.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>Andrade,</w:t>
      </w:r>
      <w:r w:rsidRPr="00F378C3">
        <w:rPr>
          <w:rFonts w:ascii="Century Schoolbook" w:hAnsi="Century Schoolbook"/>
          <w:szCs w:val="24"/>
        </w:rPr>
        <w:t xml:space="preserve"> D. C. (2008). Economia e meio ambiente: aspectos teóricos e metodológicos nas visões neoclássica e da economia ecológica. Leituras de Economia Política, Campinas, nº 14, p. 1-31, ago./dez. 2008.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lastRenderedPageBreak/>
        <w:t>Andrade, D. C.; Romeiro,</w:t>
      </w:r>
      <w:r w:rsidRPr="00F378C3">
        <w:rPr>
          <w:rFonts w:ascii="Century Schoolbook" w:hAnsi="Century Schoolbook"/>
          <w:szCs w:val="24"/>
        </w:rPr>
        <w:t xml:space="preserve"> A. R. (2009). Capital natural, serviços ecossistêmicos e sistema econômico: ruma a uma “Economia dos Ecossistemas”. Texto para Discussão, IE/Unicamp, nº 159, maio/2009.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>Andrade, D. C.; Romeiro</w:t>
      </w:r>
      <w:r w:rsidRPr="00F378C3">
        <w:rPr>
          <w:rFonts w:ascii="Century Schoolbook" w:hAnsi="Century Schoolbook"/>
          <w:szCs w:val="24"/>
        </w:rPr>
        <w:t>, A. R. (2009). Serviços ecossistêmicos e sua importância para o bem-estar humano. Texto para Discussão, IE/Unicamp, nº 155, fev./2009.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>Andrade, D. C.; Romeiro</w:t>
      </w:r>
      <w:r w:rsidRPr="00F378C3">
        <w:rPr>
          <w:rFonts w:ascii="Century Schoolbook" w:hAnsi="Century Schoolbook"/>
          <w:szCs w:val="24"/>
        </w:rPr>
        <w:t xml:space="preserve">, A. R.; </w:t>
      </w:r>
      <w:r w:rsidRPr="00F378C3">
        <w:rPr>
          <w:rFonts w:ascii="Century Schoolbook" w:hAnsi="Century Schoolbook"/>
          <w:caps/>
          <w:szCs w:val="24"/>
        </w:rPr>
        <w:t>Simões</w:t>
      </w:r>
      <w:r w:rsidRPr="00F378C3">
        <w:rPr>
          <w:rFonts w:ascii="Century Schoolbook" w:hAnsi="Century Schoolbook"/>
          <w:szCs w:val="24"/>
        </w:rPr>
        <w:t xml:space="preserve">, M. S. (2012). </w:t>
      </w:r>
      <w:proofErr w:type="spellStart"/>
      <w:r w:rsidRPr="00F378C3">
        <w:rPr>
          <w:rFonts w:ascii="Century Schoolbook" w:hAnsi="Century Schoolbook"/>
          <w:szCs w:val="24"/>
        </w:rPr>
        <w:t>From</w:t>
      </w:r>
      <w:proofErr w:type="spellEnd"/>
      <w:r w:rsidRPr="00F378C3">
        <w:rPr>
          <w:rFonts w:ascii="Century Schoolbook" w:hAnsi="Century Schoolbook"/>
          <w:szCs w:val="24"/>
        </w:rPr>
        <w:t xml:space="preserve"> </w:t>
      </w:r>
      <w:proofErr w:type="spellStart"/>
      <w:r w:rsidR="00852C0C" w:rsidRPr="00F378C3">
        <w:rPr>
          <w:rFonts w:ascii="Century Schoolbook" w:hAnsi="Century Schoolbook"/>
          <w:szCs w:val="24"/>
        </w:rPr>
        <w:t>a</w:t>
      </w:r>
      <w:r w:rsidRPr="00F378C3">
        <w:rPr>
          <w:rFonts w:ascii="Century Schoolbook" w:hAnsi="Century Schoolbook"/>
          <w:szCs w:val="24"/>
        </w:rPr>
        <w:t>n</w:t>
      </w:r>
      <w:proofErr w:type="spellEnd"/>
      <w:r w:rsidRPr="00F378C3">
        <w:rPr>
          <w:rFonts w:ascii="Century Schoolbook" w:hAnsi="Century Schoolbook"/>
          <w:szCs w:val="24"/>
        </w:rPr>
        <w:t xml:space="preserve"> empty </w:t>
      </w:r>
      <w:proofErr w:type="spellStart"/>
      <w:r w:rsidRPr="00F378C3">
        <w:rPr>
          <w:rFonts w:ascii="Century Schoolbook" w:hAnsi="Century Schoolbook"/>
          <w:szCs w:val="24"/>
        </w:rPr>
        <w:t>to</w:t>
      </w:r>
      <w:proofErr w:type="spellEnd"/>
      <w:r w:rsidRPr="00F378C3">
        <w:rPr>
          <w:rFonts w:ascii="Century Schoolbook" w:hAnsi="Century Schoolbook"/>
          <w:szCs w:val="24"/>
        </w:rPr>
        <w:t xml:space="preserve"> a full world: a nova natureza da escassez e suas implicações. Economia e Sociedade, Campinas, v. 21, nº 3 (46), p. 695-722, dez./2012.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ANDRADE, D.C.; VALE P.M. Fronteiras planetárias e limites ao crescimento: algumas implicações de política econômica. In: IX Encontro Nacional da Sociedade Brasileira de Economia Ecológica, 2011, Brasília-DF. Anais .... Brasília-DF, 2011.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ARROW, K.; BOLIN, B.; COSTANZA, R.; DASGUPTA, P.; FOLKE, C.; HOLLING, C.S.; JANSSON, B.-O.; LEVIN, S.; MÄLER, K.-G.; PERRINGS, C.; PIMENTEL, D. Economic growth, carrying capacity, and the environment. Science 268, 520–521, 1995.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AYES, R.U. Economic growth: politically necessary but not environmentally friendly.  Ecological Economics 15, p.97-99, 1995.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>Cechin</w:t>
      </w:r>
      <w:r w:rsidRPr="00F378C3">
        <w:rPr>
          <w:rFonts w:ascii="Century Schoolbook" w:hAnsi="Century Schoolbook"/>
          <w:szCs w:val="24"/>
        </w:rPr>
        <w:t xml:space="preserve">, A.; </w:t>
      </w:r>
      <w:r w:rsidRPr="00F378C3">
        <w:rPr>
          <w:rFonts w:ascii="Century Schoolbook" w:hAnsi="Century Schoolbook"/>
          <w:caps/>
          <w:szCs w:val="24"/>
        </w:rPr>
        <w:t>Eli</w:t>
      </w:r>
      <w:r w:rsidRPr="00F378C3">
        <w:rPr>
          <w:rFonts w:ascii="Century Schoolbook" w:hAnsi="Century Schoolbook"/>
          <w:szCs w:val="24"/>
        </w:rPr>
        <w:t xml:space="preserve"> </w:t>
      </w:r>
      <w:r w:rsidRPr="00F378C3">
        <w:rPr>
          <w:rFonts w:ascii="Century Schoolbook" w:hAnsi="Century Schoolbook"/>
          <w:caps/>
          <w:szCs w:val="24"/>
        </w:rPr>
        <w:t>da</w:t>
      </w:r>
      <w:r w:rsidRPr="00F378C3">
        <w:rPr>
          <w:rFonts w:ascii="Century Schoolbook" w:hAnsi="Century Schoolbook"/>
          <w:szCs w:val="24"/>
        </w:rPr>
        <w:t xml:space="preserve"> </w:t>
      </w:r>
      <w:r w:rsidRPr="00F378C3">
        <w:rPr>
          <w:rFonts w:ascii="Century Schoolbook" w:hAnsi="Century Schoolbook"/>
          <w:caps/>
          <w:szCs w:val="24"/>
        </w:rPr>
        <w:t>Veiga</w:t>
      </w:r>
      <w:r w:rsidRPr="00F378C3">
        <w:rPr>
          <w:rFonts w:ascii="Century Schoolbook" w:hAnsi="Century Schoolbook"/>
          <w:szCs w:val="24"/>
        </w:rPr>
        <w:t xml:space="preserve">, J. (2009). O fundamento central da economia ecológica. In: </w:t>
      </w:r>
      <w:r w:rsidRPr="00F378C3">
        <w:rPr>
          <w:rFonts w:ascii="Century Schoolbook" w:hAnsi="Century Schoolbook"/>
          <w:caps/>
          <w:szCs w:val="24"/>
        </w:rPr>
        <w:t>May</w:t>
      </w:r>
      <w:r w:rsidRPr="00F378C3">
        <w:rPr>
          <w:rFonts w:ascii="Century Schoolbook" w:hAnsi="Century Schoolbook"/>
          <w:szCs w:val="24"/>
        </w:rPr>
        <w:t>, P. (org.). Economia do meio ambiente: teoria e prática. 2ª edição, Rio de Janeiro: Elsevier/Campus, 2010.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DALY, H.E. A steady-state economy. Sustainable Development Commission, London, UK, April 2008.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Daly, H. E. (1990). Toward some operational principles of sustainable development. Ecological Economics, 2, p. 1-6, 1990.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DALY, H.E.  Ecological economics: the concept of scale and its relation to allocation, distribution, and uneconomic growth. Discussion Paper: School of Public Affairs, University of Maryland, 1993.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DALY, H.E. Economics in a full world. Scientific American (September), p. 100-107, 2005.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DALY, H.E. From a failed-growth economy to a steady-state economy.  Solutions 1 (2), p. 37-43, February, 2010.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GOWDY, J.; ERICKSON, J.D.  The approach of ecological economics.  Cambridge Journal of Economics 29, p. 207-222, 2005.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HARRIS, J.  M.  Macroeconomic policy and sustainability.  Global Development and Environment Institute. Working Paper 01-09, 2001.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HARRIS, J.M.; CODUR, A-M.  Macroeconomics and the environment.  Global Development and Environment Institute. Teaching Module, Tufts University, 2004.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  <w:lang w:val="en-US"/>
        </w:rPr>
        <w:t>HEYES, A. A Proposal for the Greening of Textbook Macro: “IS-LM-EE</w:t>
      </w:r>
      <w:r w:rsidRPr="00F378C3">
        <w:rPr>
          <w:szCs w:val="24"/>
          <w:lang w:val="en-US"/>
        </w:rPr>
        <w:t>”</w:t>
      </w:r>
      <w:r w:rsidRPr="00F378C3">
        <w:rPr>
          <w:rFonts w:ascii="Century Schoolbook" w:hAnsi="Century Schoolbook"/>
          <w:szCs w:val="24"/>
          <w:lang w:val="en-US"/>
        </w:rPr>
        <w:t xml:space="preserve">.  </w:t>
      </w:r>
      <w:r w:rsidRPr="00F378C3">
        <w:rPr>
          <w:rFonts w:ascii="Century Schoolbook" w:hAnsi="Century Schoolbook"/>
          <w:szCs w:val="24"/>
        </w:rPr>
        <w:t>Ecological Economics, v. 32 (1), p. 1-7, January, 2000.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  <w:lang w:val="en-US"/>
        </w:rPr>
      </w:pPr>
      <w:r w:rsidRPr="00F378C3">
        <w:rPr>
          <w:rFonts w:ascii="Century Schoolbook" w:hAnsi="Century Schoolbook"/>
          <w:szCs w:val="24"/>
        </w:rPr>
        <w:t xml:space="preserve">LAWN.  </w:t>
      </w:r>
      <w:r w:rsidRPr="00F378C3">
        <w:rPr>
          <w:rFonts w:ascii="Century Schoolbook" w:hAnsi="Century Schoolbook"/>
          <w:szCs w:val="24"/>
          <w:lang w:val="en-US"/>
        </w:rPr>
        <w:t xml:space="preserve">P.A.  On Heyes </w:t>
      </w:r>
      <w:r w:rsidRPr="00F378C3">
        <w:rPr>
          <w:szCs w:val="24"/>
          <w:lang w:val="en-US"/>
        </w:rPr>
        <w:t>‟</w:t>
      </w:r>
      <w:r w:rsidRPr="00F378C3">
        <w:rPr>
          <w:rFonts w:ascii="Century Schoolbook" w:hAnsi="Century Schoolbook"/>
          <w:szCs w:val="24"/>
          <w:lang w:val="en-US"/>
        </w:rPr>
        <w:t xml:space="preserve">IS-LM-EE proposal to establish an environmental economics. 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MUELLER, C.C.  Economia, entropia e sustentabilidade: abordagens e visões de futuro da Economia da Sobrevivência. Estudos Econômicos, v. 29 (4), p. 513-550, out-dez, 1999.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MUELLER, C.C.  Sustainable Development:  conceptualizations and measurement.  Brazilian Journal of Political Economy, v. 28 (2), p. 207-225, April-June, 2008.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MUNASINGHE, M.  Environmental macroeconomics – basic principles.  Internet Encyclopedia of Ecological Economics: Munasinghe Institute for Development, Colombo, Sri Lanka, 2004.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MUNASINGHE, M. Making economic growth more sustainable. Ecological Economics 15, p. 121-124, 1995.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NOBRE, M., AMAZONAS, M. de C. Desenvolvimento sustentável: a institucionalização de um conceito. Brasília: Edições Ibama, 2002.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lastRenderedPageBreak/>
        <w:t>NØRGÅRD, J.S.; PEET, J; RAGNARSDÓTTIR, K.V. The history of The Limits to Growth. Solutions 1 (2), p. 59-63, February, 2010.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>Pearce, D. W.; Turner, R. K.</w:t>
      </w:r>
      <w:r w:rsidRPr="00F378C3">
        <w:rPr>
          <w:rFonts w:ascii="Century Schoolbook" w:hAnsi="Century Schoolbook"/>
          <w:szCs w:val="24"/>
        </w:rPr>
        <w:t xml:space="preserve"> Economics of natural resources and the environment. Harvester Wheatsheaf, Great Britain, 1990.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 xml:space="preserve">POLLITT, H.; BARKER.  </w:t>
      </w:r>
      <w:r w:rsidRPr="00F378C3">
        <w:rPr>
          <w:rFonts w:ascii="Century Schoolbook" w:hAnsi="Century Schoolbook"/>
          <w:szCs w:val="24"/>
          <w:lang w:val="en-US"/>
        </w:rPr>
        <w:t xml:space="preserve">A.; </w:t>
      </w:r>
      <w:proofErr w:type="gramStart"/>
      <w:r w:rsidRPr="00F378C3">
        <w:rPr>
          <w:rFonts w:ascii="Century Schoolbook" w:hAnsi="Century Schoolbook"/>
          <w:szCs w:val="24"/>
          <w:lang w:val="en-US"/>
        </w:rPr>
        <w:t>BARTON,  J.</w:t>
      </w:r>
      <w:proofErr w:type="gramEnd"/>
      <w:r w:rsidRPr="00F378C3">
        <w:rPr>
          <w:rFonts w:ascii="Century Schoolbook" w:hAnsi="Century Schoolbook"/>
          <w:szCs w:val="24"/>
          <w:lang w:val="en-US"/>
        </w:rPr>
        <w:t xml:space="preserve">;  PIRGMAIER,  E.;  POLZIN,  C.;  LUTTER,  S.; HINTERGERGER,  F.;  STOCKER,  A.  </w:t>
      </w:r>
      <w:r w:rsidRPr="00F378C3">
        <w:rPr>
          <w:rFonts w:ascii="Century Schoolbook" w:hAnsi="Century Schoolbook"/>
          <w:szCs w:val="24"/>
        </w:rPr>
        <w:t>A scoping study on the macroeconomic view of sustainability.  Final report for the European Commission.  Sustainable Europe Research Institute, 2010.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ROCKSTRÖM, J.; STEFFEN, W.; NOONE, K.; PERSSON, A.; CHAPIN, F.S.; LAMBIN, E.R.; LENTON, T.M.; SCHEFFER, M.; FOLKE, C.; SHELLNHUBER, H.J.; NYKVIST, B.; WIT, C.A. de; HUGHES, T.; VAN DER LEEUW, S.; RODHE, H.; SÖRLIN, S.; SNYDER, P.K.; COSTANZA, R.; SVEDIN, U.; FALKENMARK, M.; KARLBERG, L.; CORELL, R.W.; FABRY, V.J.; HANSEN, J.; WALKER, B.; LIVERMAN, D.; RICHARDSON, K.; CRUTZEN, P.; FOLEY, J. A safe operating space for humanity. Nature 461, p. 472-475, 2009a.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ROCKSTRÖM, J.; STEFFEN, W.; NOONE, K.; PERSSON, A.; CHAPIN, F.S.; LAMBIN, E.R.; LENTON, T.M.; SCHEFFER, M.; FOLKE, C.; SHELLNHUBER, H.J.; NYKVIST, B.; WIT, C.A. de; HUGHES, T.; VAN DER LEEUW, S.; RODHE, H.; SÖRLIN, S.; SNYDER, P.K.; COSTANZA, R.; SVEDIN, U.; FALKENMARK, M.; KARLBERG, L.; CORELL, R.W.; FABRY, V.J.; HANSEN, J.; WALKER, B.; LIVERMAN, D.; RICHARDSON, K.; CRUTZEN, P.; FOLEY, J.   Planetary boundaries:  exploring the safe operating space for humanity.  Ecology and Society 14(2): 32, 2009b.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>Romeiro</w:t>
      </w:r>
      <w:r w:rsidRPr="00F378C3">
        <w:rPr>
          <w:rFonts w:ascii="Century Schoolbook" w:hAnsi="Century Schoolbook"/>
          <w:szCs w:val="24"/>
        </w:rPr>
        <w:t>, A. R. (2012). Desenvolvimento sustentável: uma perspectiva econômico-ecológica. Estudos Avançados, São Paulo, 26 (74), 2012.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>Ropke</w:t>
      </w:r>
      <w:r w:rsidRPr="00F378C3">
        <w:rPr>
          <w:rFonts w:ascii="Century Schoolbook" w:hAnsi="Century Schoolbook"/>
          <w:szCs w:val="24"/>
        </w:rPr>
        <w:t xml:space="preserve">, I. (2004). </w:t>
      </w:r>
      <w:r w:rsidRPr="00F378C3">
        <w:rPr>
          <w:rFonts w:ascii="Century Schoolbook" w:hAnsi="Century Schoolbook"/>
          <w:szCs w:val="24"/>
          <w:lang w:val="en-US"/>
        </w:rPr>
        <w:t xml:space="preserve">The early history of modern ecological economics. </w:t>
      </w:r>
      <w:r w:rsidRPr="00F378C3">
        <w:rPr>
          <w:rFonts w:ascii="Century Schoolbook" w:hAnsi="Century Schoolbook"/>
          <w:szCs w:val="24"/>
        </w:rPr>
        <w:t>Ecological Economics, 50, p. 293-413, 2004.</w:t>
      </w:r>
    </w:p>
    <w:p w:rsidR="002E5523" w:rsidRPr="00F378C3" w:rsidRDefault="002E5523" w:rsidP="007F3D21">
      <w:pPr>
        <w:jc w:val="both"/>
      </w:pPr>
      <w:r w:rsidRPr="00F378C3">
        <w:rPr>
          <w:caps/>
        </w:rPr>
        <w:t>Sachs, J.</w:t>
      </w:r>
      <w:r w:rsidRPr="00F378C3">
        <w:t xml:space="preserve"> A riqueza de todos: a construção de uma economia sustentável em um planeta superpovoado, poluído e pobre. Fronteira, Rio de Janeiro, 2008.</w:t>
      </w:r>
    </w:p>
    <w:p w:rsidR="002E5523" w:rsidRPr="00F378C3" w:rsidRDefault="002E5523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 xml:space="preserve">Sachs, I. </w:t>
      </w:r>
      <w:r w:rsidRPr="00F378C3">
        <w:rPr>
          <w:rFonts w:ascii="Century Schoolbook" w:hAnsi="Century Schoolbook"/>
          <w:bCs/>
          <w:szCs w:val="24"/>
        </w:rPr>
        <w:t>Caminhos para o desenvolvimento sustentável</w:t>
      </w:r>
      <w:r w:rsidRPr="00F378C3">
        <w:rPr>
          <w:rFonts w:ascii="Century Schoolbook" w:hAnsi="Century Schoolbook"/>
          <w:szCs w:val="24"/>
        </w:rPr>
        <w:t xml:space="preserve">. Ideias Sustentáveis, Rio de Janeiro: </w:t>
      </w:r>
      <w:proofErr w:type="spellStart"/>
      <w:r w:rsidRPr="00F378C3">
        <w:rPr>
          <w:rFonts w:ascii="Century Schoolbook" w:hAnsi="Century Schoolbook"/>
          <w:szCs w:val="24"/>
        </w:rPr>
        <w:t>Garamond</w:t>
      </w:r>
      <w:proofErr w:type="spellEnd"/>
      <w:r w:rsidRPr="00F378C3">
        <w:rPr>
          <w:rFonts w:ascii="Century Schoolbook" w:hAnsi="Century Schoolbook"/>
          <w:szCs w:val="24"/>
        </w:rPr>
        <w:t>, 2009.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caps/>
          <w:szCs w:val="24"/>
        </w:rPr>
        <w:t>Saes</w:t>
      </w:r>
      <w:r w:rsidRPr="00F378C3">
        <w:rPr>
          <w:rFonts w:ascii="Century Schoolbook" w:hAnsi="Century Schoolbook"/>
          <w:szCs w:val="24"/>
        </w:rPr>
        <w:t>, B. M. (2013). Macroeconomia ecológica: o desenvolvimento de abordagens e modelos a partir da economia ecológica. Dissertação (Mestrado em Desenvolvimento Econômico, Espaço e Meio Ambiente), Instituto de Economia, Universidade Estadual de Campinas, Campinas: SP, 2013.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SIM, N.C.S.  Environmental Keynesian macroeconomics:  some further discussion.  Ecological Economics 59, p. 51-56, 2006.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  <w:r w:rsidRPr="00F378C3">
        <w:rPr>
          <w:rFonts w:ascii="Century Schoolbook" w:hAnsi="Century Schoolbook"/>
          <w:szCs w:val="24"/>
        </w:rPr>
        <w:t>VICTOR, P.A. Questioning economic growth. Nature v. 468, p. 370-371, 2010.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</w:p>
    <w:p w:rsidR="007F3D21" w:rsidRPr="00F378C3" w:rsidRDefault="007F3D21" w:rsidP="007F3D21">
      <w:pPr>
        <w:jc w:val="both"/>
        <w:rPr>
          <w:rFonts w:ascii="Century Schoolbook" w:hAnsi="Century Schoolbook"/>
          <w:b/>
          <w:szCs w:val="24"/>
        </w:rPr>
      </w:pPr>
      <w:r w:rsidRPr="00F378C3">
        <w:rPr>
          <w:rFonts w:ascii="Century Schoolbook" w:hAnsi="Century Schoolbook"/>
          <w:b/>
          <w:szCs w:val="24"/>
        </w:rPr>
        <w:t>Referências bibliográficas complementares</w:t>
      </w:r>
    </w:p>
    <w:p w:rsidR="007F3D21" w:rsidRPr="00F378C3" w:rsidRDefault="007F3D21" w:rsidP="007F3D21">
      <w:pPr>
        <w:jc w:val="both"/>
        <w:rPr>
          <w:rFonts w:ascii="Century Schoolbook" w:hAnsi="Century Schoolbook"/>
          <w:szCs w:val="24"/>
        </w:rPr>
      </w:pPr>
    </w:p>
    <w:p w:rsidR="007F3D21" w:rsidRPr="00F378C3" w:rsidRDefault="007F3D21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  <w:caps/>
        </w:rPr>
        <w:t>Andrade, D.C.; Romeiro, A.R.</w:t>
      </w:r>
      <w:r w:rsidRPr="00F378C3">
        <w:rPr>
          <w:rFonts w:ascii="Century Schoolbook" w:hAnsi="Century Schoolbook"/>
        </w:rPr>
        <w:t xml:space="preserve"> Degradação Ambiental e Teoria Econômica: Algumas Reflexões sobre uma “Economia dos Ecossistemas”.  Economia, Brasília, ANPEC, v.12 (1), jan/abr., 2011, p. 3-26, 2011.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caps/>
        </w:rPr>
        <w:t>Bürgenmeier, B.</w:t>
      </w:r>
      <w:r w:rsidRPr="00F378C3">
        <w:rPr>
          <w:rFonts w:ascii="Century Schoolbook" w:hAnsi="Century Schoolbook"/>
        </w:rPr>
        <w:t xml:space="preserve"> (2005). Economia do desenvolvimento sustentável. </w:t>
      </w:r>
      <w:r w:rsidRPr="00F378C3">
        <w:rPr>
          <w:rFonts w:ascii="Century Schoolbook" w:hAnsi="Century Schoolbook"/>
          <w:lang w:val="en-US"/>
        </w:rPr>
        <w:t>Lisboa: Instituto Piaget, 2005.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COMMON, M.; STAGL, S. Ecological economics: an introduction.  Cambridge: University Press, 2005.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 xml:space="preserve">DALY, H.E.  </w:t>
      </w:r>
      <w:proofErr w:type="gramStart"/>
      <w:r w:rsidRPr="00F378C3">
        <w:rPr>
          <w:rFonts w:ascii="Century Schoolbook" w:hAnsi="Century Schoolbook"/>
          <w:lang w:val="en-US"/>
        </w:rPr>
        <w:t>Uneconomic  growth</w:t>
      </w:r>
      <w:proofErr w:type="gramEnd"/>
      <w:r w:rsidRPr="00F378C3">
        <w:rPr>
          <w:rFonts w:ascii="Century Schoolbook" w:hAnsi="Century Schoolbook"/>
          <w:lang w:val="en-US"/>
        </w:rPr>
        <w:t>:  in  theory,  in  fact,  in  history,  and  its  relation  to  globalization. Clemens Lectures Series, Saint’s John University, 1999.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caps/>
          <w:lang w:val="en-US"/>
        </w:rPr>
        <w:lastRenderedPageBreak/>
        <w:t>Daly, H.; Farley, J.</w:t>
      </w:r>
      <w:r w:rsidRPr="00F378C3">
        <w:rPr>
          <w:rFonts w:ascii="Century Schoolbook" w:hAnsi="Century Schoolbook"/>
          <w:lang w:val="en-US"/>
        </w:rPr>
        <w:t xml:space="preserve"> </w:t>
      </w:r>
      <w:r w:rsidRPr="00F378C3">
        <w:rPr>
          <w:rFonts w:ascii="Century Schoolbook" w:hAnsi="Century Schoolbook"/>
          <w:bCs/>
          <w:lang w:val="en-US"/>
        </w:rPr>
        <w:t>Ecological Economics: Principles and Applications</w:t>
      </w:r>
      <w:r w:rsidRPr="00F378C3">
        <w:rPr>
          <w:rFonts w:ascii="Century Schoolbook" w:hAnsi="Century Schoolbook"/>
          <w:lang w:val="en-US"/>
        </w:rPr>
        <w:t>. Island Press, Washington, 2011.</w:t>
      </w:r>
    </w:p>
    <w:p w:rsidR="007F3D21" w:rsidRPr="00F378C3" w:rsidRDefault="007F3D21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  <w:lang w:val="en-US"/>
        </w:rPr>
        <w:t xml:space="preserve">DALY, H.E. Beyond Growth: The Economics of Sustainable Development. </w:t>
      </w:r>
      <w:r w:rsidRPr="00F378C3">
        <w:rPr>
          <w:rFonts w:ascii="Century Schoolbook" w:hAnsi="Century Schoolbook"/>
        </w:rPr>
        <w:t>Boston: Beacon Press, 1996.</w:t>
      </w:r>
    </w:p>
    <w:p w:rsidR="007F3D21" w:rsidRPr="00F378C3" w:rsidRDefault="007F3D21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</w:rPr>
        <w:t>DALY, H.E. Crescimento sustentável? Não, obrigado.  Ambiente e Sociedade v. II (2), p. 197-201, jul-dez, 2004.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ESCOBAR, A. Sustainability: design for the pluriverse. Development 54 (2), p. 137-140, 2011.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GEORGESCU-ROEGEN, N.  The entropy law and the economic process.  Cambridge:  Harvard University Press, 1971.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HOPWOOD, B.; MELLOR, M.; O</w:t>
      </w:r>
      <w:r w:rsidRPr="00F378C3">
        <w:rPr>
          <w:lang w:val="en-US"/>
        </w:rPr>
        <w:t>‟</w:t>
      </w:r>
      <w:r w:rsidRPr="00F378C3">
        <w:rPr>
          <w:rFonts w:ascii="Century Schoolbook" w:hAnsi="Century Schoolbook"/>
          <w:lang w:val="en-US"/>
        </w:rPr>
        <w:t>BRIEN, G.  Sustainable development:  mapping different approaches. Sustainable Development, v. 13, n. 1, p. 38-52, Feb. 2005.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LAWN, P.A.  Scale, prices, and biophysical assessments.  Ecological Economics 38, p.  369-382, 2001.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MALGHAN, D. On being the right size: a framework for the analytical study of scale, economy, and ecosystem. PhD dissertation – University of Maryland, 2006.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MEADOWS, D.H.; MEADOWS, D.L.; RANDERS. J.; BEHRENS III, W.W. The Limits to Growth. New York: Universe Books, 1972.</w:t>
      </w:r>
    </w:p>
    <w:p w:rsidR="007F3D21" w:rsidRPr="00F378C3" w:rsidRDefault="007F3D21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  <w:lang w:val="en-US"/>
        </w:rPr>
        <w:t xml:space="preserve">MEBRATU, D.  Sustainability and sustainable development:  historical and conceptual review. </w:t>
      </w:r>
      <w:r w:rsidRPr="00F378C3">
        <w:rPr>
          <w:rFonts w:ascii="Century Schoolbook" w:hAnsi="Century Schoolbook"/>
        </w:rPr>
        <w:t>Environmental Impact Assessment Review, Netherlands, v. 18, n. 6, p. 493–520, nov. 1998.</w:t>
      </w:r>
    </w:p>
    <w:p w:rsidR="00972133" w:rsidRPr="00F378C3" w:rsidRDefault="00972133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  <w:caps/>
        </w:rPr>
        <w:t>Miller, G. T.; Spoolman, S. E.</w:t>
      </w:r>
      <w:r w:rsidRPr="00F378C3">
        <w:rPr>
          <w:rFonts w:ascii="Century Schoolbook" w:hAnsi="Century Schoolbook"/>
        </w:rPr>
        <w:t xml:space="preserve"> Ecologia e sustentabilidade. Tradução da 6ª edição Norte-americana, </w:t>
      </w:r>
      <w:proofErr w:type="spellStart"/>
      <w:r w:rsidRPr="00F378C3">
        <w:rPr>
          <w:rFonts w:ascii="Century Schoolbook" w:hAnsi="Century Schoolbook"/>
        </w:rPr>
        <w:t>Cengage</w:t>
      </w:r>
      <w:proofErr w:type="spellEnd"/>
      <w:r w:rsidRPr="00F378C3">
        <w:rPr>
          <w:rFonts w:ascii="Century Schoolbook" w:hAnsi="Century Schoolbook"/>
        </w:rPr>
        <w:t xml:space="preserve"> Learning, São Paulo, 2012.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</w:rPr>
        <w:t xml:space="preserve">MUELLER, C.C. Os economistas e as relações entre o sistema econômico e o meio ambiente. </w:t>
      </w:r>
      <w:r w:rsidRPr="00F378C3">
        <w:rPr>
          <w:rFonts w:ascii="Century Schoolbook" w:hAnsi="Century Schoolbook"/>
          <w:lang w:val="en-US"/>
        </w:rPr>
        <w:t>Brasília: UnB, 2007.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 xml:space="preserve">NEW SCIENTIST. The folly of growth: how to stop the economy killing the planet.  Special Issue, </w:t>
      </w:r>
      <w:proofErr w:type="gramStart"/>
      <w:r w:rsidRPr="00F378C3">
        <w:rPr>
          <w:rFonts w:ascii="Century Schoolbook" w:hAnsi="Century Schoolbook"/>
          <w:lang w:val="en-US"/>
        </w:rPr>
        <w:t>October,</w:t>
      </w:r>
      <w:proofErr w:type="gramEnd"/>
      <w:r w:rsidRPr="00F378C3">
        <w:rPr>
          <w:rFonts w:ascii="Century Schoolbook" w:hAnsi="Century Schoolbook"/>
          <w:lang w:val="en-US"/>
        </w:rPr>
        <w:t xml:space="preserve"> 2008.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OECD – Organization for Economic Co-operation and Development.  Sustainable development: critical issues. Paris: OECD Publications, 2001.</w:t>
      </w:r>
    </w:p>
    <w:p w:rsidR="007F3D21" w:rsidRPr="00F378C3" w:rsidRDefault="007F3D21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  <w:lang w:val="en-US"/>
        </w:rPr>
        <w:t xml:space="preserve">OZKAYNAK, B; DEVINE, P.; RIGBY, D.  Operationalising strong sustainability:  definitions, methodologies and outcomes. </w:t>
      </w:r>
      <w:r w:rsidRPr="00F378C3">
        <w:rPr>
          <w:rFonts w:ascii="Century Schoolbook" w:hAnsi="Century Schoolbook"/>
        </w:rPr>
        <w:t>Environmental Values 13, p. 279-303, 2004.</w:t>
      </w:r>
    </w:p>
    <w:p w:rsidR="007F3D21" w:rsidRPr="00F378C3" w:rsidRDefault="007F3D21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  <w:caps/>
        </w:rPr>
        <w:t>Portugal Júnior, P. S.; Reydon, B. P.; Portugal</w:t>
      </w:r>
      <w:r w:rsidRPr="00F378C3">
        <w:rPr>
          <w:rFonts w:ascii="Century Schoolbook" w:hAnsi="Century Schoolbook"/>
        </w:rPr>
        <w:t>, N. S. (2012). A sustentabilidade ambiental como direcionador estratégico ao processo de reindustrialização no Brasil. Economia e Sociedade, Campinas, v. 21, Número especial, p. 889-907, dez./2012.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</w:rPr>
        <w:t xml:space="preserve">PURSER, R.E.; PARK, C.; MONTUORI, A.  </w:t>
      </w:r>
      <w:r w:rsidRPr="00F378C3">
        <w:rPr>
          <w:rFonts w:ascii="Century Schoolbook" w:hAnsi="Century Schoolbook"/>
          <w:lang w:val="en-US"/>
        </w:rPr>
        <w:t>Limits to anthropocentrism:  toward an ecocentric organization paradigm?  Academy of Management Review, New York, v. 20, n.4, p. 1053-1089, oct. 1995.</w:t>
      </w:r>
    </w:p>
    <w:p w:rsidR="007F3D21" w:rsidRPr="00F378C3" w:rsidRDefault="007F3D21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  <w:caps/>
        </w:rPr>
        <w:t>Romeiro</w:t>
      </w:r>
      <w:r w:rsidRPr="00F378C3">
        <w:rPr>
          <w:rFonts w:ascii="Century Schoolbook" w:hAnsi="Century Schoolbook"/>
        </w:rPr>
        <w:t>, A. R. (1999). Desenvolvimento sustentável e mudança institucional: notas preliminares. Texto para Discussão, IE/Unicamp, Campinas, nº 68, abril/1999.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caps/>
        </w:rPr>
        <w:t>Romeiro</w:t>
      </w:r>
      <w:r w:rsidRPr="00F378C3">
        <w:rPr>
          <w:rFonts w:ascii="Century Schoolbook" w:hAnsi="Century Schoolbook"/>
        </w:rPr>
        <w:t xml:space="preserve">, A. R. (2001). Economia ou economia política da sustentabilidade. </w:t>
      </w:r>
      <w:r w:rsidRPr="00F378C3">
        <w:rPr>
          <w:rFonts w:ascii="Century Schoolbook" w:hAnsi="Century Schoolbook"/>
          <w:lang w:val="en-US"/>
        </w:rPr>
        <w:t xml:space="preserve">Texto para Discussão, IE/Unicamp, Campinas, nº 102, </w:t>
      </w:r>
      <w:proofErr w:type="gramStart"/>
      <w:r w:rsidRPr="00F378C3">
        <w:rPr>
          <w:rFonts w:ascii="Century Schoolbook" w:hAnsi="Century Schoolbook"/>
          <w:lang w:val="en-US"/>
        </w:rPr>
        <w:t>set./</w:t>
      </w:r>
      <w:proofErr w:type="gramEnd"/>
      <w:r w:rsidRPr="00F378C3">
        <w:rPr>
          <w:rFonts w:ascii="Century Schoolbook" w:hAnsi="Century Schoolbook"/>
          <w:lang w:val="en-US"/>
        </w:rPr>
        <w:t>2001.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SAES, B.M.; MIYAMOTO, B.C.B. Physical limits to growth and technological progress: the debate Limits to Growth versus Sussex.  In: VI Research Workshop on “Institutions and Organizations”. Universidade Federal do Rio de Janeiro, 3 e 4 de outubro, 2011.</w:t>
      </w:r>
    </w:p>
    <w:p w:rsidR="007F3D21" w:rsidRPr="00F378C3" w:rsidRDefault="007F3D21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  <w:lang w:val="en-US"/>
        </w:rPr>
        <w:t xml:space="preserve">STEFFEN, W.; ROCKSTRÖM, J.; COSTANZA, R.  How defining planetary boundaries can transform our approach to growth. </w:t>
      </w:r>
      <w:r w:rsidRPr="00F378C3">
        <w:rPr>
          <w:rFonts w:ascii="Century Schoolbook" w:hAnsi="Century Schoolbook"/>
        </w:rPr>
        <w:t>Solutions 2 (3), p. 1-7, May, 2011.</w:t>
      </w:r>
    </w:p>
    <w:p w:rsidR="007F3D21" w:rsidRPr="00F378C3" w:rsidRDefault="007F3D21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</w:rPr>
        <w:t>VEIGA, J.E. da. O principal desafio do século XXI. Ciência e Cultura [on line], v. 57. n. 2, p. 4-5, 2005.</w:t>
      </w:r>
    </w:p>
    <w:p w:rsidR="00502D85" w:rsidRPr="00F378C3" w:rsidRDefault="00502D85" w:rsidP="007F3D21">
      <w:pPr>
        <w:jc w:val="both"/>
        <w:rPr>
          <w:rFonts w:ascii="Century Schoolbook" w:hAnsi="Century Schoolbook"/>
        </w:rPr>
      </w:pPr>
      <w:r w:rsidRPr="00F378C3">
        <w:rPr>
          <w:rFonts w:ascii="Century Schoolbook" w:hAnsi="Century Schoolbook"/>
          <w:lang w:val="fr-FR"/>
        </w:rPr>
        <w:lastRenderedPageBreak/>
        <w:t xml:space="preserve">VICTOR, P. Managing without growth: slower by design, not disaster. </w:t>
      </w:r>
      <w:r w:rsidRPr="00F378C3">
        <w:rPr>
          <w:rFonts w:ascii="Century Schoolbook" w:hAnsi="Century Schoolbook"/>
        </w:rPr>
        <w:t xml:space="preserve">Northampton, MA: Edward </w:t>
      </w:r>
      <w:proofErr w:type="spellStart"/>
      <w:r w:rsidRPr="00F378C3">
        <w:rPr>
          <w:rFonts w:ascii="Century Schoolbook" w:hAnsi="Century Schoolbook"/>
        </w:rPr>
        <w:t>Elgar</w:t>
      </w:r>
      <w:proofErr w:type="spellEnd"/>
      <w:r w:rsidRPr="00F378C3">
        <w:rPr>
          <w:rFonts w:ascii="Century Schoolbook" w:hAnsi="Century Schoolbook"/>
        </w:rPr>
        <w:t>, 2008.</w:t>
      </w:r>
    </w:p>
    <w:p w:rsidR="007F3D21" w:rsidRPr="00F378C3" w:rsidRDefault="007F3D21" w:rsidP="007F3D21">
      <w:pPr>
        <w:jc w:val="both"/>
        <w:rPr>
          <w:rFonts w:ascii="Century Schoolbook" w:hAnsi="Century Schoolbook"/>
          <w:lang w:val="en-US"/>
        </w:rPr>
      </w:pPr>
      <w:r w:rsidRPr="00F378C3">
        <w:rPr>
          <w:rFonts w:ascii="Century Schoolbook" w:hAnsi="Century Schoolbook"/>
          <w:lang w:val="en-US"/>
        </w:rPr>
        <w:t>WCED – World Commission on Environment and Development.  Our common future.  Oxford: Oxford University Press, 1987, p. 27-91.</w:t>
      </w:r>
    </w:p>
    <w:p w:rsidR="005053D2" w:rsidRPr="007F3D21" w:rsidRDefault="007F3D21" w:rsidP="002D20AB">
      <w:pPr>
        <w:jc w:val="both"/>
        <w:rPr>
          <w:rFonts w:ascii="Century Schoolbook" w:hAnsi="Century Schoolbook"/>
          <w:b/>
          <w:szCs w:val="24"/>
        </w:rPr>
      </w:pPr>
      <w:r w:rsidRPr="00F378C3">
        <w:rPr>
          <w:rFonts w:ascii="Century Schoolbook" w:hAnsi="Century Schoolbook"/>
          <w:lang w:val="en-US"/>
        </w:rPr>
        <w:t xml:space="preserve">WDR – World Development Report 2003.  Sustainable development in a dynamic world: transforming institutions, growth, and quality of life (overview). </w:t>
      </w:r>
      <w:r w:rsidRPr="00F378C3">
        <w:rPr>
          <w:rFonts w:ascii="Century Schoolbook" w:hAnsi="Century Schoolbook"/>
        </w:rPr>
        <w:t xml:space="preserve">Washington: World Bank, 2003. </w:t>
      </w:r>
      <w:r w:rsidRPr="00F378C3">
        <w:rPr>
          <w:rFonts w:ascii="Century Schoolbook" w:hAnsi="Century Schoolbook"/>
          <w:lang w:val="en-US"/>
        </w:rPr>
        <w:t>Environmental and Development Economics 8, p. 31-56, 2003.</w:t>
      </w:r>
      <w:r w:rsidR="006D211D" w:rsidRPr="007F3D21">
        <w:rPr>
          <w:rFonts w:ascii="Century Schoolbook" w:hAnsi="Century Schoolbook"/>
          <w:b/>
          <w:szCs w:val="24"/>
        </w:rPr>
        <w:t xml:space="preserve"> </w:t>
      </w:r>
    </w:p>
    <w:p w:rsidR="007F3D21" w:rsidRPr="007F3D21" w:rsidRDefault="007F3D21">
      <w:pPr>
        <w:jc w:val="center"/>
        <w:rPr>
          <w:rFonts w:ascii="Century Schoolbook" w:hAnsi="Century Schoolbook"/>
          <w:b/>
          <w:szCs w:val="24"/>
        </w:rPr>
      </w:pPr>
    </w:p>
    <w:sectPr w:rsidR="007F3D21" w:rsidRPr="007F3D21" w:rsidSect="006D50C9">
      <w:footerReference w:type="even" r:id="rId9"/>
      <w:footerReference w:type="default" r:id="rId10"/>
      <w:pgSz w:w="12240" w:h="15840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F1C" w:rsidRDefault="00BC2F1C">
      <w:r>
        <w:separator/>
      </w:r>
    </w:p>
  </w:endnote>
  <w:endnote w:type="continuationSeparator" w:id="0">
    <w:p w:rsidR="00BC2F1C" w:rsidRDefault="00BC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27" w:rsidRDefault="000C6B27" w:rsidP="006D50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6B27" w:rsidRDefault="000C6B27" w:rsidP="00F651F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27" w:rsidRDefault="000C6B27" w:rsidP="006D50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78C3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0C6B27" w:rsidRDefault="000C6B27" w:rsidP="00F651F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F1C" w:rsidRDefault="00BC2F1C">
      <w:r>
        <w:separator/>
      </w:r>
    </w:p>
  </w:footnote>
  <w:footnote w:type="continuationSeparator" w:id="0">
    <w:p w:rsidR="00BC2F1C" w:rsidRDefault="00BC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2F1"/>
    <w:multiLevelType w:val="hybridMultilevel"/>
    <w:tmpl w:val="26120D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5BD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196C88"/>
    <w:multiLevelType w:val="multilevel"/>
    <w:tmpl w:val="E9DE750A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1CB44966"/>
    <w:multiLevelType w:val="hybridMultilevel"/>
    <w:tmpl w:val="3B8E0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253F"/>
    <w:multiLevelType w:val="hybridMultilevel"/>
    <w:tmpl w:val="1A8E17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12A3C"/>
    <w:multiLevelType w:val="hybridMultilevel"/>
    <w:tmpl w:val="86CCD72A"/>
    <w:lvl w:ilvl="0" w:tplc="B77C82B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172F15"/>
    <w:multiLevelType w:val="multilevel"/>
    <w:tmpl w:val="FD1A668A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7" w15:restartNumberingAfterBreak="0">
    <w:nsid w:val="522E79AD"/>
    <w:multiLevelType w:val="hybridMultilevel"/>
    <w:tmpl w:val="88E88F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7">
    <w:abstractNumId w:val="2"/>
    <w:lvlOverride w:ilvl="0">
      <w:lvl w:ilvl="0">
        <w:start w:val="1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61"/>
    <w:rsid w:val="00004806"/>
    <w:rsid w:val="00012849"/>
    <w:rsid w:val="0002012D"/>
    <w:rsid w:val="000204E6"/>
    <w:rsid w:val="0005364F"/>
    <w:rsid w:val="00060BCB"/>
    <w:rsid w:val="000A3B47"/>
    <w:rsid w:val="000A3CB3"/>
    <w:rsid w:val="000B0DAC"/>
    <w:rsid w:val="000B57C3"/>
    <w:rsid w:val="000C6B27"/>
    <w:rsid w:val="000E33B7"/>
    <w:rsid w:val="000F3CAB"/>
    <w:rsid w:val="001540DB"/>
    <w:rsid w:val="001C069E"/>
    <w:rsid w:val="001C1332"/>
    <w:rsid w:val="001C47EB"/>
    <w:rsid w:val="001C513E"/>
    <w:rsid w:val="001C7D13"/>
    <w:rsid w:val="001D78D9"/>
    <w:rsid w:val="001F42EE"/>
    <w:rsid w:val="001F4D22"/>
    <w:rsid w:val="00204764"/>
    <w:rsid w:val="00244ECA"/>
    <w:rsid w:val="00275C41"/>
    <w:rsid w:val="00286A69"/>
    <w:rsid w:val="00287CB6"/>
    <w:rsid w:val="002918B4"/>
    <w:rsid w:val="00296307"/>
    <w:rsid w:val="002D20AB"/>
    <w:rsid w:val="002D4F66"/>
    <w:rsid w:val="002E5523"/>
    <w:rsid w:val="0032799D"/>
    <w:rsid w:val="00332BD9"/>
    <w:rsid w:val="003615B5"/>
    <w:rsid w:val="00367DE4"/>
    <w:rsid w:val="0037089B"/>
    <w:rsid w:val="003A11FA"/>
    <w:rsid w:val="003C36F8"/>
    <w:rsid w:val="003D475D"/>
    <w:rsid w:val="003D6527"/>
    <w:rsid w:val="00410113"/>
    <w:rsid w:val="00435364"/>
    <w:rsid w:val="004404BA"/>
    <w:rsid w:val="00444964"/>
    <w:rsid w:val="00457EDA"/>
    <w:rsid w:val="00487C5A"/>
    <w:rsid w:val="00490D8E"/>
    <w:rsid w:val="00494179"/>
    <w:rsid w:val="0049695B"/>
    <w:rsid w:val="004C031F"/>
    <w:rsid w:val="004C4385"/>
    <w:rsid w:val="004C5FA8"/>
    <w:rsid w:val="004D5FA0"/>
    <w:rsid w:val="00502D85"/>
    <w:rsid w:val="005053D2"/>
    <w:rsid w:val="00515100"/>
    <w:rsid w:val="005244F3"/>
    <w:rsid w:val="005434A1"/>
    <w:rsid w:val="00560C80"/>
    <w:rsid w:val="005831F9"/>
    <w:rsid w:val="00583C8A"/>
    <w:rsid w:val="00586873"/>
    <w:rsid w:val="005A2FF9"/>
    <w:rsid w:val="005C067F"/>
    <w:rsid w:val="005F7E85"/>
    <w:rsid w:val="00617FE9"/>
    <w:rsid w:val="00636A19"/>
    <w:rsid w:val="006468CE"/>
    <w:rsid w:val="00651372"/>
    <w:rsid w:val="006657F7"/>
    <w:rsid w:val="00681231"/>
    <w:rsid w:val="006852E3"/>
    <w:rsid w:val="006932BC"/>
    <w:rsid w:val="006A062D"/>
    <w:rsid w:val="006A6C44"/>
    <w:rsid w:val="006B574F"/>
    <w:rsid w:val="006D084D"/>
    <w:rsid w:val="006D211D"/>
    <w:rsid w:val="006D50C9"/>
    <w:rsid w:val="00700AC1"/>
    <w:rsid w:val="00702745"/>
    <w:rsid w:val="00754511"/>
    <w:rsid w:val="0078734A"/>
    <w:rsid w:val="007875DF"/>
    <w:rsid w:val="00794258"/>
    <w:rsid w:val="00796E08"/>
    <w:rsid w:val="007E30F2"/>
    <w:rsid w:val="007F3D21"/>
    <w:rsid w:val="0084272C"/>
    <w:rsid w:val="00852C0C"/>
    <w:rsid w:val="008561F3"/>
    <w:rsid w:val="008616CF"/>
    <w:rsid w:val="0087630D"/>
    <w:rsid w:val="00894283"/>
    <w:rsid w:val="00896F29"/>
    <w:rsid w:val="008A67FE"/>
    <w:rsid w:val="008F5A24"/>
    <w:rsid w:val="00922019"/>
    <w:rsid w:val="00925307"/>
    <w:rsid w:val="00935294"/>
    <w:rsid w:val="00952B32"/>
    <w:rsid w:val="00955431"/>
    <w:rsid w:val="00972133"/>
    <w:rsid w:val="0097290B"/>
    <w:rsid w:val="00990661"/>
    <w:rsid w:val="009A1BDD"/>
    <w:rsid w:val="009A6F35"/>
    <w:rsid w:val="009B661A"/>
    <w:rsid w:val="009C1F37"/>
    <w:rsid w:val="009D077C"/>
    <w:rsid w:val="009D78D8"/>
    <w:rsid w:val="00A01E95"/>
    <w:rsid w:val="00A16BFB"/>
    <w:rsid w:val="00A207E5"/>
    <w:rsid w:val="00A36BF1"/>
    <w:rsid w:val="00A57C8A"/>
    <w:rsid w:val="00A83035"/>
    <w:rsid w:val="00A86E6B"/>
    <w:rsid w:val="00AA0F21"/>
    <w:rsid w:val="00AC1207"/>
    <w:rsid w:val="00B2442A"/>
    <w:rsid w:val="00B47800"/>
    <w:rsid w:val="00B5406F"/>
    <w:rsid w:val="00B74233"/>
    <w:rsid w:val="00B9172D"/>
    <w:rsid w:val="00BB1096"/>
    <w:rsid w:val="00BC2F1C"/>
    <w:rsid w:val="00BE06FC"/>
    <w:rsid w:val="00BE2EFE"/>
    <w:rsid w:val="00BF3F01"/>
    <w:rsid w:val="00C22EDF"/>
    <w:rsid w:val="00C31F20"/>
    <w:rsid w:val="00C51A2C"/>
    <w:rsid w:val="00C72F37"/>
    <w:rsid w:val="00C80C9A"/>
    <w:rsid w:val="00CB1634"/>
    <w:rsid w:val="00CB34E7"/>
    <w:rsid w:val="00CC2D79"/>
    <w:rsid w:val="00CE6DA0"/>
    <w:rsid w:val="00CF6117"/>
    <w:rsid w:val="00D0262F"/>
    <w:rsid w:val="00D22830"/>
    <w:rsid w:val="00D33151"/>
    <w:rsid w:val="00D729D6"/>
    <w:rsid w:val="00D77496"/>
    <w:rsid w:val="00DB696E"/>
    <w:rsid w:val="00DB7A17"/>
    <w:rsid w:val="00DC10F9"/>
    <w:rsid w:val="00DC4296"/>
    <w:rsid w:val="00DD5B46"/>
    <w:rsid w:val="00DF1801"/>
    <w:rsid w:val="00DF532E"/>
    <w:rsid w:val="00DF774A"/>
    <w:rsid w:val="00E030C1"/>
    <w:rsid w:val="00E15FAE"/>
    <w:rsid w:val="00E23DFA"/>
    <w:rsid w:val="00E3504F"/>
    <w:rsid w:val="00EB64F9"/>
    <w:rsid w:val="00ED4829"/>
    <w:rsid w:val="00EE391B"/>
    <w:rsid w:val="00EF336B"/>
    <w:rsid w:val="00F23DD5"/>
    <w:rsid w:val="00F378C3"/>
    <w:rsid w:val="00F45A7D"/>
    <w:rsid w:val="00F50A8C"/>
    <w:rsid w:val="00F649A3"/>
    <w:rsid w:val="00F651FE"/>
    <w:rsid w:val="00F66E5C"/>
    <w:rsid w:val="00F67E70"/>
    <w:rsid w:val="00F87B0C"/>
    <w:rsid w:val="00F92BB0"/>
    <w:rsid w:val="00FC6188"/>
    <w:rsid w:val="00FD3F0D"/>
    <w:rsid w:val="00FE0E82"/>
    <w:rsid w:val="00FF424E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530C9"/>
  <w15:chartTrackingRefBased/>
  <w15:docId w15:val="{CFAB4864-C7E0-45F9-B12C-E5832703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4296"/>
    <w:rPr>
      <w:sz w:val="24"/>
    </w:rPr>
  </w:style>
  <w:style w:type="paragraph" w:styleId="Ttulo1">
    <w:name w:val="heading 1"/>
    <w:basedOn w:val="Normal"/>
    <w:next w:val="Normal"/>
    <w:qFormat/>
    <w:rsid w:val="00DC4296"/>
    <w:pPr>
      <w:keepNext/>
      <w:outlineLvl w:val="0"/>
    </w:pPr>
    <w:rPr>
      <w:rFonts w:ascii="Copperplate Gothic Light" w:hAnsi="Copperplate Gothic Light"/>
      <w:b/>
      <w:sz w:val="20"/>
    </w:rPr>
  </w:style>
  <w:style w:type="paragraph" w:styleId="Ttulo2">
    <w:name w:val="heading 2"/>
    <w:basedOn w:val="Normal"/>
    <w:next w:val="Normal"/>
    <w:qFormat/>
    <w:rsid w:val="00DC4296"/>
    <w:pPr>
      <w:keepNext/>
      <w:jc w:val="center"/>
      <w:outlineLvl w:val="1"/>
    </w:pPr>
    <w:rPr>
      <w:rFonts w:ascii="Century Schoolbook" w:hAnsi="Century Schoolbook"/>
      <w:b/>
      <w:sz w:val="16"/>
    </w:rPr>
  </w:style>
  <w:style w:type="paragraph" w:styleId="Ttulo3">
    <w:name w:val="heading 3"/>
    <w:basedOn w:val="Normal"/>
    <w:next w:val="Normal"/>
    <w:qFormat/>
    <w:rsid w:val="00C22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22E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C4296"/>
    <w:pPr>
      <w:tabs>
        <w:tab w:val="center" w:pos="4419"/>
        <w:tab w:val="right" w:pos="8838"/>
      </w:tabs>
      <w:jc w:val="both"/>
    </w:pPr>
    <w:rPr>
      <w:rFonts w:ascii="Letter Gothic" w:hAnsi="Letter Gothic"/>
      <w:sz w:val="20"/>
    </w:rPr>
  </w:style>
  <w:style w:type="paragraph" w:styleId="Textodebalo">
    <w:name w:val="Balloon Text"/>
    <w:basedOn w:val="Normal"/>
    <w:semiHidden/>
    <w:rsid w:val="0079425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657F7"/>
    <w:pPr>
      <w:jc w:val="both"/>
    </w:pPr>
    <w:rPr>
      <w:rFonts w:ascii="Garamond" w:hAnsi="Garamond" w:cs="Arial"/>
    </w:rPr>
  </w:style>
  <w:style w:type="paragraph" w:styleId="Corpodetexto2">
    <w:name w:val="Body Text 2"/>
    <w:basedOn w:val="Normal"/>
    <w:rsid w:val="006657F7"/>
    <w:pPr>
      <w:jc w:val="both"/>
    </w:pPr>
    <w:rPr>
      <w:rFonts w:ascii="Garamond" w:hAnsi="Garamond" w:cs="Arial"/>
      <w:b/>
      <w:bCs/>
    </w:rPr>
  </w:style>
  <w:style w:type="paragraph" w:styleId="Ttulo">
    <w:name w:val="Title"/>
    <w:basedOn w:val="Normal"/>
    <w:qFormat/>
    <w:rsid w:val="00C22EDF"/>
    <w:pPr>
      <w:jc w:val="center"/>
    </w:pPr>
    <w:rPr>
      <w:rFonts w:ascii="Arial" w:hAnsi="Arial"/>
      <w:b/>
      <w:sz w:val="32"/>
    </w:rPr>
  </w:style>
  <w:style w:type="character" w:styleId="Forte">
    <w:name w:val="Strong"/>
    <w:qFormat/>
    <w:rsid w:val="00C22EDF"/>
    <w:rPr>
      <w:b/>
    </w:rPr>
  </w:style>
  <w:style w:type="paragraph" w:styleId="Rodap">
    <w:name w:val="footer"/>
    <w:basedOn w:val="Normal"/>
    <w:rsid w:val="00F651F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651FE"/>
  </w:style>
  <w:style w:type="paragraph" w:styleId="Pr-formataoHTML">
    <w:name w:val="HTML Preformatted"/>
    <w:basedOn w:val="Normal"/>
    <w:rsid w:val="00EB6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Hyperlink">
    <w:name w:val="Hyperlink"/>
    <w:rsid w:val="003615B5"/>
    <w:rPr>
      <w:color w:val="0000FF"/>
      <w:u w:val="single"/>
    </w:rPr>
  </w:style>
  <w:style w:type="paragraph" w:styleId="NormalWeb">
    <w:name w:val="Normal (Web)"/>
    <w:basedOn w:val="Normal"/>
    <w:semiHidden/>
    <w:rsid w:val="00B9172D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Hospital de Clínicas - UFPR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Assessoria de Informatica</dc:creator>
  <cp:keywords/>
  <dc:description/>
  <cp:lastModifiedBy>Reviewer</cp:lastModifiedBy>
  <cp:revision>3</cp:revision>
  <cp:lastPrinted>2015-07-29T11:55:00Z</cp:lastPrinted>
  <dcterms:created xsi:type="dcterms:W3CDTF">2018-09-27T18:11:00Z</dcterms:created>
  <dcterms:modified xsi:type="dcterms:W3CDTF">2018-09-27T18:12:00Z</dcterms:modified>
</cp:coreProperties>
</file>