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A3812" w14:textId="43B55900" w:rsidR="00206E96" w:rsidRPr="007665F5" w:rsidRDefault="002E62C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2E62CE">
        <w:rPr>
          <w:rFonts w:asciiTheme="majorHAnsi" w:hAnsiTheme="majorHAnsi" w:cstheme="majorHAnsi"/>
          <w:b/>
          <w:bCs/>
          <w:sz w:val="28"/>
          <w:szCs w:val="28"/>
        </w:rPr>
        <w:t>Características dos sistemas bancários em todo o mundo</w:t>
      </w:r>
      <w:r w:rsidR="007A1ABD" w:rsidRPr="007665F5">
        <w:rPr>
          <w:rStyle w:val="Refdenotaderodap"/>
          <w:rFonts w:asciiTheme="majorHAnsi" w:hAnsiTheme="majorHAnsi" w:cstheme="majorHAnsi"/>
          <w:b/>
          <w:bCs/>
          <w:sz w:val="28"/>
          <w:szCs w:val="28"/>
        </w:rPr>
        <w:footnoteReference w:id="1"/>
      </w:r>
    </w:p>
    <w:p w14:paraId="2628EA8E" w14:textId="77777777" w:rsidR="007665F5" w:rsidRDefault="007665F5">
      <w:pPr>
        <w:rPr>
          <w:rFonts w:asciiTheme="majorHAnsi" w:hAnsiTheme="majorHAnsi" w:cstheme="majorHAnsi"/>
          <w:sz w:val="22"/>
          <w:szCs w:val="22"/>
        </w:rPr>
      </w:pPr>
    </w:p>
    <w:p w14:paraId="7ED5B6E5" w14:textId="3780FF92" w:rsidR="008F7EC6" w:rsidRDefault="00CC3A79" w:rsidP="00391550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 w:rsidRPr="0099733E">
        <w:rPr>
          <w:rFonts w:asciiTheme="majorHAnsi" w:hAnsiTheme="majorHAnsi" w:cstheme="majorHAnsi"/>
          <w:b/>
          <w:bCs/>
          <w:sz w:val="28"/>
          <w:szCs w:val="28"/>
        </w:rPr>
        <w:t>O</w:t>
      </w:r>
      <w:r w:rsidR="007B70ED" w:rsidRPr="0099733E">
        <w:rPr>
          <w:rFonts w:asciiTheme="majorHAnsi" w:hAnsiTheme="majorHAnsi" w:cstheme="majorHAnsi"/>
          <w:b/>
          <w:bCs/>
          <w:sz w:val="28"/>
          <w:szCs w:val="28"/>
        </w:rPr>
        <w:t>s</w:t>
      </w:r>
      <w:r w:rsidRPr="0099733E">
        <w:rPr>
          <w:rFonts w:asciiTheme="majorHAnsi" w:hAnsiTheme="majorHAnsi" w:cstheme="majorHAnsi"/>
          <w:b/>
          <w:bCs/>
          <w:sz w:val="28"/>
          <w:szCs w:val="28"/>
        </w:rPr>
        <w:t xml:space="preserve"> objetivo</w:t>
      </w:r>
      <w:r w:rsidR="007B70ED" w:rsidRPr="0099733E">
        <w:rPr>
          <w:rFonts w:asciiTheme="majorHAnsi" w:hAnsiTheme="majorHAnsi" w:cstheme="majorHAnsi"/>
          <w:b/>
          <w:bCs/>
          <w:sz w:val="28"/>
          <w:szCs w:val="28"/>
        </w:rPr>
        <w:t>s</w:t>
      </w:r>
      <w:r w:rsidRPr="0099733E">
        <w:rPr>
          <w:rFonts w:asciiTheme="majorHAnsi" w:hAnsiTheme="majorHAnsi" w:cstheme="majorHAnsi"/>
          <w:b/>
          <w:bCs/>
          <w:sz w:val="28"/>
          <w:szCs w:val="28"/>
        </w:rPr>
        <w:t xml:space="preserve"> da atividade</w:t>
      </w:r>
    </w:p>
    <w:p w14:paraId="5D0A3962" w14:textId="14142910" w:rsidR="0099733E" w:rsidRDefault="0099733E" w:rsidP="0099733E">
      <w:pPr>
        <w:rPr>
          <w:rFonts w:asciiTheme="majorHAnsi" w:hAnsiTheme="majorHAnsi" w:cstheme="majorHAnsi"/>
          <w:sz w:val="22"/>
          <w:szCs w:val="22"/>
        </w:rPr>
      </w:pPr>
    </w:p>
    <w:p w14:paraId="336ACFE0" w14:textId="77777777" w:rsidR="002E62CE" w:rsidRDefault="002E62CE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2E62CE">
        <w:rPr>
          <w:rFonts w:asciiTheme="majorHAnsi" w:hAnsiTheme="majorHAnsi" w:cstheme="majorHAnsi"/>
          <w:sz w:val="22"/>
          <w:szCs w:val="22"/>
        </w:rPr>
        <w:t>comparar características dos sistemas bancários em todo o mundo e ao longo do tempo</w:t>
      </w:r>
    </w:p>
    <w:p w14:paraId="2E29C6A5" w14:textId="77777777" w:rsidR="002E62CE" w:rsidRDefault="002E62CE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Utilizar </w:t>
      </w:r>
      <w:r w:rsidRPr="002E62CE">
        <w:rPr>
          <w:rFonts w:asciiTheme="majorHAnsi" w:hAnsiTheme="majorHAnsi" w:cstheme="majorHAnsi"/>
          <w:sz w:val="22"/>
          <w:szCs w:val="22"/>
        </w:rPr>
        <w:t xml:space="preserve">gráficos de </w:t>
      </w:r>
      <w:r>
        <w:rPr>
          <w:rFonts w:asciiTheme="majorHAnsi" w:hAnsiTheme="majorHAnsi" w:cstheme="majorHAnsi"/>
          <w:sz w:val="22"/>
          <w:szCs w:val="22"/>
        </w:rPr>
        <w:t>“</w:t>
      </w:r>
      <w:r w:rsidRPr="002E62CE">
        <w:rPr>
          <w:rFonts w:asciiTheme="majorHAnsi" w:hAnsiTheme="majorHAnsi" w:cstheme="majorHAnsi"/>
          <w:sz w:val="22"/>
          <w:szCs w:val="22"/>
        </w:rPr>
        <w:t>caixa</w:t>
      </w:r>
      <w:r>
        <w:rPr>
          <w:rFonts w:asciiTheme="majorHAnsi" w:hAnsiTheme="majorHAnsi" w:cstheme="majorHAnsi"/>
          <w:sz w:val="22"/>
          <w:szCs w:val="22"/>
        </w:rPr>
        <w:t>”</w:t>
      </w:r>
      <w:r w:rsidRPr="002E62CE">
        <w:rPr>
          <w:rFonts w:asciiTheme="majorHAnsi" w:hAnsiTheme="majorHAnsi" w:cstheme="majorHAnsi"/>
          <w:sz w:val="22"/>
          <w:szCs w:val="22"/>
        </w:rPr>
        <w:t xml:space="preserve"> e </w:t>
      </w:r>
      <w:r>
        <w:rPr>
          <w:rFonts w:asciiTheme="majorHAnsi" w:hAnsiTheme="majorHAnsi" w:cstheme="majorHAnsi"/>
          <w:sz w:val="22"/>
          <w:szCs w:val="22"/>
        </w:rPr>
        <w:t>de “</w:t>
      </w:r>
      <w:r w:rsidRPr="002E62CE">
        <w:rPr>
          <w:rFonts w:asciiTheme="majorHAnsi" w:hAnsiTheme="majorHAnsi" w:cstheme="majorHAnsi"/>
          <w:sz w:val="22"/>
          <w:szCs w:val="22"/>
        </w:rPr>
        <w:t>bigode</w:t>
      </w:r>
      <w:r>
        <w:rPr>
          <w:rFonts w:asciiTheme="majorHAnsi" w:hAnsiTheme="majorHAnsi" w:cstheme="majorHAnsi"/>
          <w:sz w:val="22"/>
          <w:szCs w:val="22"/>
        </w:rPr>
        <w:t>”</w:t>
      </w:r>
      <w:r w:rsidRPr="002E62CE">
        <w:rPr>
          <w:rFonts w:asciiTheme="majorHAnsi" w:hAnsiTheme="majorHAnsi" w:cstheme="majorHAnsi"/>
          <w:sz w:val="22"/>
          <w:szCs w:val="22"/>
        </w:rPr>
        <w:t xml:space="preserve"> para identificar valores </w:t>
      </w:r>
      <w:proofErr w:type="spellStart"/>
      <w:r w:rsidRPr="002E62CE">
        <w:rPr>
          <w:rFonts w:asciiTheme="majorHAnsi" w:hAnsiTheme="majorHAnsi" w:cstheme="majorHAnsi"/>
          <w:sz w:val="22"/>
          <w:szCs w:val="22"/>
        </w:rPr>
        <w:t>extremos</w:t>
      </w:r>
    </w:p>
    <w:p w14:paraId="58816B26" w14:textId="77777777" w:rsidR="002E62CE" w:rsidRDefault="002E62CE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2E62CE">
        <w:rPr>
          <w:rFonts w:asciiTheme="majorHAnsi" w:hAnsiTheme="majorHAnsi" w:cstheme="majorHAnsi"/>
          <w:sz w:val="22"/>
          <w:szCs w:val="22"/>
        </w:rPr>
        <w:t>calcula</w:t>
      </w:r>
      <w:proofErr w:type="spellEnd"/>
      <w:r w:rsidRPr="002E62CE">
        <w:rPr>
          <w:rFonts w:asciiTheme="majorHAnsi" w:hAnsiTheme="majorHAnsi" w:cstheme="majorHAnsi"/>
          <w:sz w:val="22"/>
          <w:szCs w:val="22"/>
        </w:rPr>
        <w:t>r médias ponderadas e explicar as diferenças entre médias simples e ponderadas</w:t>
      </w:r>
    </w:p>
    <w:p w14:paraId="647811FE" w14:textId="7B974DEB" w:rsidR="006A76C5" w:rsidRPr="006A76C5" w:rsidRDefault="002E62CE" w:rsidP="006A76C5">
      <w:pPr>
        <w:pStyle w:val="PargrafodaLista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Utilizar </w:t>
      </w:r>
      <w:r w:rsidRPr="002E62CE">
        <w:rPr>
          <w:rFonts w:asciiTheme="majorHAnsi" w:hAnsiTheme="majorHAnsi" w:cstheme="majorHAnsi"/>
          <w:sz w:val="22"/>
          <w:szCs w:val="22"/>
        </w:rPr>
        <w:t>intervalos de confiança para avaliar mudanças na estabilidade das instituições financeiras antes e depois da crise financeira global de 2008</w:t>
      </w:r>
    </w:p>
    <w:p w14:paraId="06CA1E74" w14:textId="77777777" w:rsidR="00CC3A79" w:rsidRPr="00A75D83" w:rsidRDefault="00CC3A79">
      <w:pPr>
        <w:rPr>
          <w:rFonts w:asciiTheme="majorHAnsi" w:hAnsiTheme="majorHAnsi" w:cstheme="majorHAnsi"/>
          <w:sz w:val="22"/>
          <w:szCs w:val="22"/>
        </w:rPr>
      </w:pPr>
    </w:p>
    <w:p w14:paraId="12FF0822" w14:textId="77777777" w:rsidR="00CC3A79" w:rsidRPr="007665F5" w:rsidRDefault="00A75D83" w:rsidP="00391550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 w:rsidRPr="007665F5">
        <w:rPr>
          <w:rFonts w:asciiTheme="majorHAnsi" w:hAnsiTheme="majorHAnsi" w:cstheme="majorHAnsi"/>
          <w:b/>
          <w:bCs/>
          <w:sz w:val="28"/>
          <w:szCs w:val="28"/>
        </w:rPr>
        <w:t>Contextualização</w:t>
      </w:r>
    </w:p>
    <w:p w14:paraId="375B58A2" w14:textId="12D51876" w:rsidR="007665F5" w:rsidRDefault="007665F5">
      <w:pPr>
        <w:rPr>
          <w:rFonts w:asciiTheme="majorHAnsi" w:hAnsiTheme="majorHAnsi" w:cstheme="majorHAnsi"/>
          <w:sz w:val="22"/>
          <w:szCs w:val="22"/>
        </w:rPr>
      </w:pPr>
    </w:p>
    <w:p w14:paraId="266541C1" w14:textId="77777777" w:rsidR="002E62CE" w:rsidRDefault="002E62CE">
      <w:pPr>
        <w:rPr>
          <w:rFonts w:asciiTheme="majorHAnsi" w:hAnsiTheme="majorHAnsi" w:cstheme="majorHAnsi"/>
          <w:sz w:val="22"/>
          <w:szCs w:val="22"/>
        </w:rPr>
      </w:pPr>
      <w:r w:rsidRPr="002E62CE">
        <w:rPr>
          <w:rFonts w:asciiTheme="majorHAnsi" w:hAnsiTheme="majorHAnsi" w:cstheme="majorHAnsi"/>
          <w:sz w:val="22"/>
          <w:szCs w:val="22"/>
        </w:rPr>
        <w:t>Crédito, dinheiro e bancos criam oportunidades para ganho mútuo, permitindo que empresas e indivíduos reorganizem o momento de seus gastos através de empréstimos, empréstimos, investimentos e economias. Quando os sistemas bancários funcionam bem, eles podem alocar recursos de forma eficiente para empresas e famílias, contribuindo para o desenvolvimento econômico e promovendo o bem-estar econômico. No entanto, se os sistemas bancários funcionarem mal, eles podem prejudicar o crescimento econômico e tornar as economias instáveis, o que, por sua vez, impede que famílias e empresas acessem ou usem os recursos financeiros de que precisam.</w:t>
      </w:r>
    </w:p>
    <w:p w14:paraId="14181D0B" w14:textId="15983F37" w:rsidR="002E62CE" w:rsidRDefault="002E62CE">
      <w:pPr>
        <w:rPr>
          <w:rFonts w:asciiTheme="majorHAnsi" w:hAnsiTheme="majorHAnsi" w:cstheme="majorHAnsi"/>
          <w:sz w:val="22"/>
          <w:szCs w:val="22"/>
        </w:rPr>
      </w:pPr>
      <w:r w:rsidRPr="002E62CE">
        <w:rPr>
          <w:rFonts w:asciiTheme="majorHAnsi" w:hAnsiTheme="majorHAnsi" w:cstheme="majorHAnsi"/>
          <w:sz w:val="22"/>
          <w:szCs w:val="22"/>
        </w:rPr>
        <w:t>Um exemplo recente de mau funcionamento dos sistemas bancários foi a crise financeira global de 2008, que ocorreu em grande parte devido aos bancos aumentarem seus empréstimos para conceder mais empréstimos para habitação (geralmente para tomadores de risco) e comprar mais ativos financeiros com base nos pacotes desses empréstimos para habitação.</w:t>
      </w:r>
    </w:p>
    <w:p w14:paraId="3AA65BBD" w14:textId="77777777" w:rsidR="002E62CE" w:rsidRDefault="002E62CE">
      <w:pPr>
        <w:rPr>
          <w:rFonts w:asciiTheme="majorHAnsi" w:hAnsiTheme="majorHAnsi" w:cstheme="majorHAnsi"/>
          <w:sz w:val="22"/>
          <w:szCs w:val="22"/>
        </w:rPr>
      </w:pPr>
      <w:r w:rsidRPr="002E62CE">
        <w:rPr>
          <w:rFonts w:asciiTheme="majorHAnsi" w:hAnsiTheme="majorHAnsi" w:cstheme="majorHAnsi"/>
          <w:sz w:val="22"/>
          <w:szCs w:val="22"/>
        </w:rPr>
        <w:t>A crise destacou questões importantes na coleta e medição de dados, uma vez que os formuladores de políticas careciam de dados de boa qualidade, entre países e entre períodos (chamados de 'séries temporais') nos sistemas financeiros. Em resposta a essa necessidade de melhores dados, os pesquisadores do Banco Mundial reuniram o Banco de Dados de Desenvolvimento Financeiro Global</w:t>
      </w:r>
      <w:r>
        <w:rPr>
          <w:rFonts w:asciiTheme="majorHAnsi" w:hAnsiTheme="majorHAnsi" w:cstheme="majorHAnsi"/>
          <w:sz w:val="22"/>
          <w:szCs w:val="22"/>
        </w:rPr>
        <w:t xml:space="preserve"> (</w:t>
      </w:r>
      <w:r>
        <w:rPr>
          <w:rFonts w:ascii="inherit" w:hAnsi="inherit"/>
          <w:color w:val="222222"/>
          <w:shd w:val="clear" w:color="auto" w:fill="FFFFFF"/>
        </w:rPr>
        <w:t xml:space="preserve">Global Financial </w:t>
      </w:r>
      <w:proofErr w:type="spellStart"/>
      <w:r>
        <w:rPr>
          <w:rFonts w:ascii="inherit" w:hAnsi="inherit"/>
          <w:color w:val="222222"/>
          <w:shd w:val="clear" w:color="auto" w:fill="FFFFFF"/>
        </w:rPr>
        <w:t>Development</w:t>
      </w:r>
      <w:proofErr w:type="spellEnd"/>
      <w:r>
        <w:rPr>
          <w:rFonts w:ascii="inherit" w:hAnsi="inherit"/>
          <w:color w:val="222222"/>
          <w:shd w:val="clear" w:color="auto" w:fill="FFFFFF"/>
        </w:rPr>
        <w:t xml:space="preserve"> </w:t>
      </w:r>
      <w:proofErr w:type="spellStart"/>
      <w:r>
        <w:rPr>
          <w:rFonts w:ascii="inherit" w:hAnsi="inherit"/>
          <w:color w:val="222222"/>
          <w:shd w:val="clear" w:color="auto" w:fill="FFFFFF"/>
        </w:rPr>
        <w:t>Database</w:t>
      </w:r>
      <w:proofErr w:type="spellEnd"/>
      <w:r>
        <w:rPr>
          <w:rFonts w:asciiTheme="majorHAnsi" w:hAnsiTheme="majorHAnsi" w:cstheme="majorHAnsi"/>
          <w:sz w:val="22"/>
          <w:szCs w:val="22"/>
        </w:rPr>
        <w:t>)</w:t>
      </w:r>
      <w:r w:rsidRPr="002E62CE">
        <w:rPr>
          <w:rFonts w:asciiTheme="majorHAnsi" w:hAnsiTheme="majorHAnsi" w:cstheme="majorHAnsi"/>
          <w:sz w:val="22"/>
          <w:szCs w:val="22"/>
        </w:rPr>
        <w:t>, que contém uma variedade de medidas que os formuladores de políticas podem usar para comparar sistemas financeiros entre países e tempo. Embora a estabilidade seja um interesse fundamental após a crise financeira global de 2008, o Banco de Dados também possui informações sobre outras dimensões, como o tamanho dos sistemas financeiros e o grau em que indivíduos e empresas podem acessar serviços financeiros.</w:t>
      </w:r>
    </w:p>
    <w:p w14:paraId="5A047CAD" w14:textId="77777777" w:rsidR="002E62CE" w:rsidRDefault="002E62CE">
      <w:pPr>
        <w:rPr>
          <w:rFonts w:asciiTheme="majorHAnsi" w:hAnsiTheme="majorHAnsi" w:cstheme="majorHAnsi"/>
          <w:sz w:val="22"/>
          <w:szCs w:val="22"/>
        </w:rPr>
      </w:pPr>
      <w:r w:rsidRPr="002E62CE">
        <w:rPr>
          <w:rFonts w:asciiTheme="majorHAnsi" w:hAnsiTheme="majorHAnsi" w:cstheme="majorHAnsi"/>
          <w:sz w:val="22"/>
          <w:szCs w:val="22"/>
        </w:rPr>
        <w:t>Usaremos esse banco de dados para explorar as seguintes perguntas:</w:t>
      </w:r>
    </w:p>
    <w:p w14:paraId="7B0CF971" w14:textId="77777777" w:rsidR="002E62CE" w:rsidRDefault="002E62CE" w:rsidP="002E62CE">
      <w:pPr>
        <w:pStyle w:val="PargrafodaLista"/>
        <w:numPr>
          <w:ilvl w:val="0"/>
          <w:numId w:val="45"/>
        </w:numPr>
        <w:rPr>
          <w:rFonts w:asciiTheme="majorHAnsi" w:hAnsiTheme="majorHAnsi" w:cstheme="majorHAnsi"/>
          <w:sz w:val="22"/>
          <w:szCs w:val="22"/>
        </w:rPr>
      </w:pPr>
      <w:r w:rsidRPr="002E62CE">
        <w:rPr>
          <w:rFonts w:asciiTheme="majorHAnsi" w:hAnsiTheme="majorHAnsi" w:cstheme="majorHAnsi"/>
          <w:sz w:val="22"/>
          <w:szCs w:val="22"/>
        </w:rPr>
        <w:t>Como os sistemas bancários em todo o mundo diferem em tamanho e acesso aos serviços financeiros?</w:t>
      </w:r>
    </w:p>
    <w:p w14:paraId="0CBDDA01" w14:textId="42D185F6" w:rsidR="002E62CE" w:rsidRPr="002E62CE" w:rsidRDefault="002E62CE" w:rsidP="002E62CE">
      <w:pPr>
        <w:pStyle w:val="PargrafodaLista"/>
        <w:numPr>
          <w:ilvl w:val="0"/>
          <w:numId w:val="45"/>
        </w:numPr>
        <w:rPr>
          <w:rFonts w:asciiTheme="majorHAnsi" w:hAnsiTheme="majorHAnsi" w:cstheme="majorHAnsi"/>
          <w:sz w:val="22"/>
          <w:szCs w:val="22"/>
        </w:rPr>
      </w:pPr>
      <w:r w:rsidRPr="002E62CE">
        <w:rPr>
          <w:rFonts w:asciiTheme="majorHAnsi" w:hAnsiTheme="majorHAnsi" w:cstheme="majorHAnsi"/>
          <w:sz w:val="22"/>
          <w:szCs w:val="22"/>
        </w:rPr>
        <w:lastRenderedPageBreak/>
        <w:t>Os sistemas bancários se tornaram mais estáveis desde a crise financeira global de 2008?</w:t>
      </w:r>
    </w:p>
    <w:p w14:paraId="48C36F03" w14:textId="77777777" w:rsidR="003F7AB7" w:rsidRPr="00A75D83" w:rsidRDefault="003F7AB7">
      <w:pPr>
        <w:rPr>
          <w:rFonts w:asciiTheme="majorHAnsi" w:hAnsiTheme="majorHAnsi" w:cstheme="majorHAnsi"/>
          <w:sz w:val="22"/>
          <w:szCs w:val="22"/>
        </w:rPr>
      </w:pPr>
    </w:p>
    <w:p w14:paraId="124C93A8" w14:textId="53A47B3C" w:rsidR="007B70ED" w:rsidRPr="00371720" w:rsidRDefault="002E62CE" w:rsidP="00391550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Preparando os dados</w:t>
      </w:r>
    </w:p>
    <w:p w14:paraId="1EC95479" w14:textId="68ACFA6E" w:rsidR="00D50842" w:rsidRDefault="00D50842">
      <w:pPr>
        <w:rPr>
          <w:rFonts w:asciiTheme="majorHAnsi" w:hAnsiTheme="majorHAnsi" w:cstheme="majorHAnsi"/>
          <w:sz w:val="22"/>
          <w:szCs w:val="22"/>
        </w:rPr>
      </w:pPr>
    </w:p>
    <w:p w14:paraId="5DA35A44" w14:textId="77777777" w:rsidR="00A30247" w:rsidRPr="00A30247" w:rsidRDefault="00A30247">
      <w:pPr>
        <w:rPr>
          <w:rFonts w:asciiTheme="majorHAnsi" w:hAnsiTheme="majorHAnsi" w:cstheme="majorHAnsi"/>
          <w:sz w:val="22"/>
          <w:szCs w:val="22"/>
        </w:rPr>
      </w:pPr>
      <w:r w:rsidRPr="00A30247">
        <w:rPr>
          <w:rFonts w:asciiTheme="majorHAnsi" w:hAnsiTheme="majorHAnsi" w:cstheme="majorHAnsi"/>
          <w:sz w:val="22"/>
          <w:szCs w:val="22"/>
        </w:rPr>
        <w:t>Usaremos o Banco de Dados de Desenvolvimento Financeiro Global do Banco Mundial</w:t>
      </w:r>
      <w:r w:rsidRPr="00A30247">
        <w:rPr>
          <w:rFonts w:asciiTheme="majorHAnsi" w:hAnsiTheme="majorHAnsi" w:cstheme="majorHAnsi"/>
          <w:sz w:val="22"/>
          <w:szCs w:val="22"/>
        </w:rPr>
        <w:t xml:space="preserve"> (</w:t>
      </w:r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World 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Bank’s</w:t>
      </w:r>
      <w:proofErr w:type="spellEnd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Global Financial 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Development</w:t>
      </w:r>
      <w:proofErr w:type="spellEnd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Database</w:t>
      </w:r>
      <w:proofErr w:type="spellEnd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)</w:t>
      </w:r>
      <w:r w:rsidRPr="00A30247">
        <w:rPr>
          <w:rFonts w:asciiTheme="majorHAnsi" w:hAnsiTheme="majorHAnsi" w:cstheme="majorHAnsi"/>
          <w:sz w:val="22"/>
          <w:szCs w:val="22"/>
        </w:rPr>
        <w:t>.</w:t>
      </w:r>
    </w:p>
    <w:p w14:paraId="21FDBA30" w14:textId="77777777" w:rsidR="00A30247" w:rsidRPr="00A30247" w:rsidRDefault="00A30247">
      <w:pPr>
        <w:rPr>
          <w:rFonts w:asciiTheme="majorHAnsi" w:hAnsiTheme="majorHAnsi" w:cstheme="majorHAnsi"/>
          <w:sz w:val="22"/>
          <w:szCs w:val="22"/>
        </w:rPr>
      </w:pPr>
      <w:r w:rsidRPr="00A30247">
        <w:rPr>
          <w:rFonts w:asciiTheme="majorHAnsi" w:hAnsiTheme="majorHAnsi" w:cstheme="majorHAnsi"/>
          <w:sz w:val="22"/>
          <w:szCs w:val="22"/>
        </w:rPr>
        <w:t>Faça o download dos dados e da documentação:</w:t>
      </w:r>
    </w:p>
    <w:p w14:paraId="1E3B48A6" w14:textId="77777777" w:rsidR="00A30247" w:rsidRPr="00A30247" w:rsidRDefault="00A30247" w:rsidP="00A30247">
      <w:pPr>
        <w:pStyle w:val="PargrafodaLista"/>
        <w:numPr>
          <w:ilvl w:val="0"/>
          <w:numId w:val="46"/>
        </w:numPr>
        <w:rPr>
          <w:rFonts w:asciiTheme="majorHAnsi" w:hAnsiTheme="majorHAnsi" w:cstheme="majorHAnsi"/>
          <w:sz w:val="22"/>
          <w:szCs w:val="22"/>
        </w:rPr>
      </w:pPr>
      <w:r w:rsidRPr="00A30247">
        <w:rPr>
          <w:rFonts w:asciiTheme="majorHAnsi" w:hAnsiTheme="majorHAnsi" w:cstheme="majorHAnsi"/>
          <w:sz w:val="22"/>
          <w:szCs w:val="22"/>
        </w:rPr>
        <w:t xml:space="preserve">Acesse o </w:t>
      </w:r>
      <w:hyperlink r:id="rId8" w:history="1">
        <w:r w:rsidRPr="00A30247">
          <w:rPr>
            <w:rStyle w:val="Hyperlink"/>
            <w:rFonts w:asciiTheme="majorHAnsi" w:hAnsiTheme="majorHAnsi" w:cstheme="majorHAnsi"/>
            <w:sz w:val="22"/>
            <w:szCs w:val="22"/>
          </w:rPr>
          <w:t>Banco de Dados de Desenvolvimento Financeiro Global (</w:t>
        </w:r>
        <w:r w:rsidRPr="00A30247">
          <w:rPr>
            <w:rStyle w:val="Hyperlink"/>
            <w:rFonts w:asciiTheme="majorHAnsi" w:hAnsiTheme="majorHAnsi" w:cstheme="majorHAnsi"/>
            <w:sz w:val="22"/>
            <w:szCs w:val="22"/>
            <w:shd w:val="clear" w:color="auto" w:fill="FFFFFF"/>
          </w:rPr>
          <w:t xml:space="preserve">World </w:t>
        </w:r>
        <w:proofErr w:type="spellStart"/>
        <w:r w:rsidRPr="00A30247">
          <w:rPr>
            <w:rStyle w:val="Hyperlink"/>
            <w:rFonts w:asciiTheme="majorHAnsi" w:hAnsiTheme="majorHAnsi" w:cstheme="majorHAnsi"/>
            <w:sz w:val="22"/>
            <w:szCs w:val="22"/>
            <w:shd w:val="clear" w:color="auto" w:fill="FFFFFF"/>
          </w:rPr>
          <w:t>Bank’s</w:t>
        </w:r>
        <w:proofErr w:type="spellEnd"/>
        <w:r w:rsidRPr="00A30247">
          <w:rPr>
            <w:rStyle w:val="Hyperlink"/>
            <w:rFonts w:asciiTheme="majorHAnsi" w:hAnsiTheme="majorHAnsi" w:cstheme="majorHAnsi"/>
            <w:sz w:val="22"/>
            <w:szCs w:val="22"/>
            <w:shd w:val="clear" w:color="auto" w:fill="FFFFFF"/>
          </w:rPr>
          <w:t xml:space="preserve"> Global Financial </w:t>
        </w:r>
        <w:proofErr w:type="spellStart"/>
        <w:r w:rsidRPr="00A30247">
          <w:rPr>
            <w:rStyle w:val="Hyperlink"/>
            <w:rFonts w:asciiTheme="majorHAnsi" w:hAnsiTheme="majorHAnsi" w:cstheme="majorHAnsi"/>
            <w:sz w:val="22"/>
            <w:szCs w:val="22"/>
            <w:shd w:val="clear" w:color="auto" w:fill="FFFFFF"/>
          </w:rPr>
          <w:t>Development</w:t>
        </w:r>
        <w:proofErr w:type="spellEnd"/>
        <w:r w:rsidRPr="00A30247">
          <w:rPr>
            <w:rStyle w:val="Hyperlink"/>
            <w:rFonts w:asciiTheme="majorHAnsi" w:hAnsiTheme="majorHAnsi" w:cstheme="majorHAnsi"/>
            <w:sz w:val="22"/>
            <w:szCs w:val="22"/>
            <w:shd w:val="clear" w:color="auto" w:fill="FFFFFF"/>
          </w:rPr>
          <w:t xml:space="preserve"> </w:t>
        </w:r>
        <w:proofErr w:type="spellStart"/>
        <w:r w:rsidRPr="00A30247">
          <w:rPr>
            <w:rStyle w:val="Hyperlink"/>
            <w:rFonts w:asciiTheme="majorHAnsi" w:hAnsiTheme="majorHAnsi" w:cstheme="majorHAnsi"/>
            <w:sz w:val="22"/>
            <w:szCs w:val="22"/>
            <w:shd w:val="clear" w:color="auto" w:fill="FFFFFF"/>
          </w:rPr>
          <w:t>Database</w:t>
        </w:r>
        <w:proofErr w:type="spellEnd"/>
        <w:r w:rsidRPr="00A30247">
          <w:rPr>
            <w:rStyle w:val="Hyperlink"/>
            <w:rFonts w:asciiTheme="majorHAnsi" w:hAnsiTheme="majorHAnsi" w:cstheme="majorHAnsi"/>
            <w:sz w:val="22"/>
            <w:szCs w:val="22"/>
            <w:shd w:val="clear" w:color="auto" w:fill="FFFFFF"/>
          </w:rPr>
          <w:t>)</w:t>
        </w:r>
      </w:hyperlink>
      <w:r w:rsidRPr="00A30247">
        <w:rPr>
          <w:rFonts w:asciiTheme="majorHAnsi" w:hAnsiTheme="majorHAnsi" w:cstheme="majorHAnsi"/>
          <w:sz w:val="22"/>
          <w:szCs w:val="22"/>
        </w:rPr>
        <w:t>. Sob o título '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Latest</w:t>
      </w:r>
      <w:proofErr w:type="spellEnd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Version</w:t>
      </w:r>
      <w:proofErr w:type="spellEnd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of</w:t>
      </w:r>
      <w:proofErr w:type="spellEnd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the</w:t>
      </w:r>
      <w:proofErr w:type="spellEnd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Dataset</w:t>
      </w:r>
      <w:proofErr w:type="spellEnd"/>
      <w:r w:rsidRPr="00A30247">
        <w:rPr>
          <w:rFonts w:asciiTheme="majorHAnsi" w:hAnsiTheme="majorHAnsi" w:cstheme="majorHAnsi"/>
          <w:sz w:val="22"/>
          <w:szCs w:val="22"/>
        </w:rPr>
        <w:t>' (no meio da página), clique na '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June</w:t>
      </w:r>
      <w:proofErr w:type="spellEnd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2017 </w:t>
      </w:r>
      <w:proofErr w:type="spellStart"/>
      <w:r w:rsidRPr="00A3024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Version</w:t>
      </w:r>
      <w:proofErr w:type="spellEnd"/>
      <w:r w:rsidRPr="00A30247">
        <w:rPr>
          <w:rFonts w:asciiTheme="majorHAnsi" w:hAnsiTheme="majorHAnsi" w:cstheme="majorHAnsi"/>
          <w:sz w:val="22"/>
          <w:szCs w:val="22"/>
        </w:rPr>
        <w:t>' para fazer o download do arquivo do Excel.</w:t>
      </w:r>
    </w:p>
    <w:p w14:paraId="5A38BBBB" w14:textId="77777777" w:rsidR="00A30247" w:rsidRPr="00A30247" w:rsidRDefault="00A30247" w:rsidP="00A30247">
      <w:pPr>
        <w:pStyle w:val="PargrafodaLista"/>
        <w:numPr>
          <w:ilvl w:val="0"/>
          <w:numId w:val="46"/>
        </w:numPr>
        <w:rPr>
          <w:rFonts w:asciiTheme="majorHAnsi" w:hAnsiTheme="majorHAnsi" w:cstheme="majorHAnsi"/>
          <w:sz w:val="22"/>
          <w:szCs w:val="22"/>
        </w:rPr>
      </w:pPr>
      <w:r w:rsidRPr="00A30247">
        <w:rPr>
          <w:rFonts w:asciiTheme="majorHAnsi" w:hAnsiTheme="majorHAnsi" w:cstheme="majorHAnsi"/>
          <w:sz w:val="22"/>
          <w:szCs w:val="22"/>
        </w:rPr>
        <w:t>O artigo "Comparando sistemas financeiros em todo o mundo"</w:t>
      </w:r>
      <w:r w:rsidRPr="00A30247">
        <w:rPr>
          <w:rFonts w:asciiTheme="majorHAnsi" w:hAnsiTheme="majorHAnsi" w:cstheme="majorHAnsi"/>
          <w:sz w:val="22"/>
          <w:szCs w:val="22"/>
        </w:rPr>
        <w:t xml:space="preserve"> (</w:t>
      </w:r>
      <w:hyperlink r:id="rId9" w:tgtFrame="_blank" w:history="1">
        <w:r w:rsidRPr="00A30247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 xml:space="preserve">Benchmarking financial systems </w:t>
        </w:r>
        <w:proofErr w:type="spellStart"/>
        <w:r w:rsidRPr="00A30247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>around</w:t>
        </w:r>
        <w:proofErr w:type="spellEnd"/>
        <w:r w:rsidRPr="00A30247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 xml:space="preserve"> </w:t>
        </w:r>
        <w:proofErr w:type="spellStart"/>
        <w:r w:rsidRPr="00A30247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>the</w:t>
        </w:r>
        <w:proofErr w:type="spellEnd"/>
        <w:r w:rsidRPr="00A30247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 xml:space="preserve"> world</w:t>
        </w:r>
      </w:hyperlink>
      <w:r w:rsidRPr="00A30247">
        <w:rPr>
          <w:rFonts w:asciiTheme="majorHAnsi" w:hAnsiTheme="majorHAnsi" w:cstheme="majorHAnsi"/>
          <w:sz w:val="22"/>
          <w:szCs w:val="22"/>
        </w:rPr>
        <w:t>)</w:t>
      </w:r>
      <w:r w:rsidRPr="00A30247">
        <w:rPr>
          <w:rFonts w:asciiTheme="majorHAnsi" w:hAnsiTheme="majorHAnsi" w:cstheme="majorHAnsi"/>
          <w:sz w:val="22"/>
          <w:szCs w:val="22"/>
        </w:rPr>
        <w:t xml:space="preserve"> fornece uma visão geral dos dados. Você pode achar útil ler a Seção 3 (páginas 7–9) para obter um resumo da estrutura usada para medir os sistemas financeiros.</w:t>
      </w:r>
    </w:p>
    <w:p w14:paraId="7FE2DD70" w14:textId="77777777" w:rsidR="00A30247" w:rsidRDefault="00A30247" w:rsidP="00A30247">
      <w:pPr>
        <w:rPr>
          <w:rFonts w:asciiTheme="majorHAnsi" w:hAnsiTheme="majorHAnsi" w:cstheme="majorHAnsi"/>
          <w:sz w:val="22"/>
          <w:szCs w:val="22"/>
        </w:rPr>
      </w:pPr>
      <w:r w:rsidRPr="00A30247">
        <w:rPr>
          <w:rFonts w:asciiTheme="majorHAnsi" w:hAnsiTheme="majorHAnsi" w:cstheme="majorHAnsi"/>
          <w:sz w:val="22"/>
          <w:szCs w:val="22"/>
        </w:rPr>
        <w:t>O banco de dados do Banco Mundial contém informações sobre quatro categorias:</w:t>
      </w:r>
    </w:p>
    <w:p w14:paraId="48E470C9" w14:textId="77777777" w:rsidR="00A30247" w:rsidRDefault="00A30247" w:rsidP="00A30247">
      <w:pPr>
        <w:pStyle w:val="PargrafodaLista"/>
        <w:numPr>
          <w:ilvl w:val="0"/>
          <w:numId w:val="47"/>
        </w:numPr>
        <w:rPr>
          <w:rFonts w:asciiTheme="majorHAnsi" w:hAnsiTheme="majorHAnsi" w:cstheme="majorHAnsi"/>
          <w:sz w:val="22"/>
          <w:szCs w:val="22"/>
        </w:rPr>
      </w:pPr>
      <w:r w:rsidRPr="00A30247">
        <w:rPr>
          <w:rFonts w:asciiTheme="majorHAnsi" w:hAnsiTheme="majorHAnsi" w:cstheme="majorHAnsi"/>
          <w:sz w:val="22"/>
          <w:szCs w:val="22"/>
        </w:rPr>
        <w:t>profundidade financeira: o tamanho das instituições e mercados financeiros</w:t>
      </w:r>
    </w:p>
    <w:p w14:paraId="4C5B14F5" w14:textId="77777777" w:rsidR="00A30247" w:rsidRDefault="00A30247" w:rsidP="00A30247">
      <w:pPr>
        <w:pStyle w:val="PargrafodaLista"/>
        <w:numPr>
          <w:ilvl w:val="0"/>
          <w:numId w:val="47"/>
        </w:numPr>
        <w:rPr>
          <w:rFonts w:asciiTheme="majorHAnsi" w:hAnsiTheme="majorHAnsi" w:cstheme="majorHAnsi"/>
          <w:sz w:val="22"/>
          <w:szCs w:val="22"/>
        </w:rPr>
      </w:pPr>
      <w:r w:rsidRPr="00A30247">
        <w:rPr>
          <w:rFonts w:asciiTheme="majorHAnsi" w:hAnsiTheme="majorHAnsi" w:cstheme="majorHAnsi"/>
          <w:sz w:val="22"/>
          <w:szCs w:val="22"/>
        </w:rPr>
        <w:t>acesso: o grau em que os indivíduos são capazes de usar serviços financeiros</w:t>
      </w:r>
    </w:p>
    <w:p w14:paraId="7393429F" w14:textId="77777777" w:rsidR="00A30247" w:rsidRDefault="00A30247" w:rsidP="00A30247">
      <w:pPr>
        <w:pStyle w:val="PargrafodaLista"/>
        <w:numPr>
          <w:ilvl w:val="0"/>
          <w:numId w:val="47"/>
        </w:numPr>
        <w:rPr>
          <w:rFonts w:asciiTheme="majorHAnsi" w:hAnsiTheme="majorHAnsi" w:cstheme="majorHAnsi"/>
          <w:sz w:val="22"/>
          <w:szCs w:val="22"/>
        </w:rPr>
      </w:pPr>
      <w:r w:rsidRPr="00A30247">
        <w:rPr>
          <w:rFonts w:asciiTheme="majorHAnsi" w:hAnsiTheme="majorHAnsi" w:cstheme="majorHAnsi"/>
          <w:sz w:val="22"/>
          <w:szCs w:val="22"/>
        </w:rPr>
        <w:t>estabilidade das instituições e mercados financeiros</w:t>
      </w:r>
    </w:p>
    <w:p w14:paraId="4F10476B" w14:textId="736FCEB6" w:rsidR="002E62CE" w:rsidRPr="00A30247" w:rsidRDefault="00A30247" w:rsidP="00A30247">
      <w:pPr>
        <w:pStyle w:val="PargrafodaLista"/>
        <w:numPr>
          <w:ilvl w:val="0"/>
          <w:numId w:val="47"/>
        </w:numPr>
        <w:rPr>
          <w:rFonts w:asciiTheme="majorHAnsi" w:hAnsiTheme="majorHAnsi" w:cstheme="majorHAnsi"/>
          <w:sz w:val="22"/>
          <w:szCs w:val="22"/>
        </w:rPr>
      </w:pPr>
      <w:r w:rsidRPr="00A30247">
        <w:rPr>
          <w:rFonts w:asciiTheme="majorHAnsi" w:hAnsiTheme="majorHAnsi" w:cstheme="majorHAnsi"/>
          <w:sz w:val="22"/>
          <w:szCs w:val="22"/>
        </w:rPr>
        <w:t>eficiência dos intermediários e mercados financeiros na facilitação de transações financeiras</w:t>
      </w:r>
    </w:p>
    <w:p w14:paraId="51EBB3B1" w14:textId="1CEF6F0A" w:rsidR="002E62CE" w:rsidRDefault="00C924AA">
      <w:pPr>
        <w:rPr>
          <w:rFonts w:asciiTheme="majorHAnsi" w:hAnsiTheme="majorHAnsi" w:cstheme="majorHAnsi"/>
          <w:sz w:val="22"/>
          <w:szCs w:val="22"/>
        </w:rPr>
      </w:pPr>
      <w:r w:rsidRPr="00C924AA">
        <w:rPr>
          <w:rFonts w:asciiTheme="majorHAnsi" w:hAnsiTheme="majorHAnsi" w:cstheme="majorHAnsi"/>
          <w:sz w:val="22"/>
          <w:szCs w:val="22"/>
        </w:rPr>
        <w:t>Examinaremos as três primeiras categorias, concentrando-se particularmente nas medidas de estabilidade antes e depois da crise financeira global de 2008. Cada categoria é medida por vários indicadores. A Figura 1 mostra os indicadores que usaremos nest</w:t>
      </w:r>
      <w:r>
        <w:rPr>
          <w:rFonts w:asciiTheme="majorHAnsi" w:hAnsiTheme="majorHAnsi" w:cstheme="majorHAnsi"/>
          <w:sz w:val="22"/>
          <w:szCs w:val="22"/>
        </w:rPr>
        <w:t>a atividade</w:t>
      </w:r>
      <w:r w:rsidRPr="00C924AA">
        <w:rPr>
          <w:rFonts w:asciiTheme="majorHAnsi" w:hAnsiTheme="majorHAnsi" w:cstheme="majorHAnsi"/>
          <w:sz w:val="22"/>
          <w:szCs w:val="22"/>
        </w:rPr>
        <w:t>.</w:t>
      </w:r>
    </w:p>
    <w:p w14:paraId="28839073" w14:textId="2FB1A73B" w:rsidR="00C924AA" w:rsidRDefault="00C924AA" w:rsidP="00C924AA">
      <w:pPr>
        <w:pStyle w:val="Legenda"/>
        <w:rPr>
          <w:rFonts w:asciiTheme="majorHAnsi" w:hAnsiTheme="majorHAnsi" w:cstheme="majorHAnsi"/>
          <w:sz w:val="22"/>
          <w:szCs w:val="22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– Lista de indicadores usados na atividade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4"/>
        <w:gridCol w:w="5802"/>
        <w:gridCol w:w="1468"/>
      </w:tblGrid>
      <w:tr w:rsidR="00C924AA" w:rsidRPr="00C924AA" w14:paraId="574969CE" w14:textId="77777777" w:rsidTr="00C924AA">
        <w:trPr>
          <w:tblHeader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E2EA7D0" w14:textId="3CFDAE5E" w:rsidR="00C924AA" w:rsidRPr="00C924AA" w:rsidRDefault="00C924AA" w:rsidP="00C924A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Categoria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EE8D9FC" w14:textId="4F71688A" w:rsidR="00C924AA" w:rsidRPr="00C924AA" w:rsidRDefault="00C924AA" w:rsidP="00C924A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5FF8977" w14:textId="5662C625" w:rsidR="00C924AA" w:rsidRPr="00C924AA" w:rsidRDefault="00C924AA" w:rsidP="00C924A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Código</w:t>
            </w:r>
          </w:p>
        </w:tc>
      </w:tr>
      <w:tr w:rsidR="00C924AA" w:rsidRPr="00C924AA" w14:paraId="202C0DD8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66CD9EE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proofErr w:type="spellStart"/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Depth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8F14DFD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  <w:t>Private credit by deposit money banks to GDP (%)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C49A42D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GFDD.DI.01</w:t>
            </w:r>
          </w:p>
        </w:tc>
      </w:tr>
      <w:tr w:rsidR="00C924AA" w:rsidRPr="00C924AA" w14:paraId="4BB6F971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51BD37C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78D28D8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  <w:t>Deposit money banks’ assets to GDP (%)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D64B66A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GFDD.DI.02</w:t>
            </w:r>
          </w:p>
        </w:tc>
      </w:tr>
      <w:tr w:rsidR="00C924AA" w:rsidRPr="00C924AA" w14:paraId="176C22E6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58C447C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Access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12C1A1F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Bank </w:t>
            </w:r>
            <w:proofErr w:type="spellStart"/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accounts</w:t>
            </w:r>
            <w:proofErr w:type="spellEnd"/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per 1,000 </w:t>
            </w:r>
            <w:proofErr w:type="spellStart"/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adults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3F2DF46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GFDD.AI.01</w:t>
            </w:r>
          </w:p>
        </w:tc>
      </w:tr>
      <w:tr w:rsidR="00C924AA" w:rsidRPr="00C924AA" w14:paraId="18EE0E58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A839A50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5C3B0DA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Bank </w:t>
            </w:r>
            <w:proofErr w:type="spellStart"/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branches</w:t>
            </w:r>
            <w:proofErr w:type="spellEnd"/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 xml:space="preserve"> per 100,000 </w:t>
            </w:r>
            <w:proofErr w:type="spellStart"/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adults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F64611B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GFDD.AI.02</w:t>
            </w:r>
          </w:p>
        </w:tc>
      </w:tr>
      <w:tr w:rsidR="00C924AA" w:rsidRPr="00C924AA" w14:paraId="7E3124F6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FA90F05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3B236D8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  <w:t>Firms with a bank loan or line of credit (%)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6EEB20B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GFDD.AI.03</w:t>
            </w:r>
          </w:p>
        </w:tc>
      </w:tr>
      <w:tr w:rsidR="00C924AA" w:rsidRPr="00C924AA" w14:paraId="637C4B50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E63F0D2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B1A8115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  <w:t>Small firms with a bank loan or line of credit (%)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2D6BF78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GFDD.AI.04</w:t>
            </w:r>
          </w:p>
        </w:tc>
      </w:tr>
      <w:tr w:rsidR="00C924AA" w:rsidRPr="00C924AA" w14:paraId="07270B4F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2622B68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proofErr w:type="spellStart"/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Stability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B280B78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Bank Z-score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A4D00DD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GFDD.SI.01</w:t>
            </w:r>
          </w:p>
        </w:tc>
      </w:tr>
      <w:tr w:rsidR="00C924AA" w:rsidRPr="00C924AA" w14:paraId="59D3FF28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7FE99430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EE6E202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val="en-US" w:eastAsia="pt-BR"/>
              </w:rPr>
              <w:t>Bank regulatory capital to risk-weighted assets (%)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A794835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GFDD.SI.05</w:t>
            </w:r>
          </w:p>
        </w:tc>
      </w:tr>
    </w:tbl>
    <w:p w14:paraId="31CB4DC7" w14:textId="2658529C" w:rsidR="002E62CE" w:rsidRDefault="002E62CE">
      <w:pPr>
        <w:rPr>
          <w:rFonts w:asciiTheme="majorHAnsi" w:hAnsiTheme="majorHAnsi" w:cstheme="majorHAnsi"/>
          <w:sz w:val="22"/>
          <w:szCs w:val="22"/>
        </w:rPr>
      </w:pPr>
    </w:p>
    <w:p w14:paraId="292C2DD8" w14:textId="77777777" w:rsidR="00C924AA" w:rsidRPr="00C924AA" w:rsidRDefault="00C924AA" w:rsidP="00C924AA">
      <w:pPr>
        <w:pStyle w:val="PargrafodaLista"/>
        <w:numPr>
          <w:ilvl w:val="0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C924AA">
        <w:rPr>
          <w:rFonts w:asciiTheme="majorHAnsi" w:hAnsiTheme="majorHAnsi" w:cstheme="majorHAnsi"/>
          <w:sz w:val="22"/>
          <w:szCs w:val="22"/>
        </w:rPr>
        <w:t>A guia "</w:t>
      </w:r>
      <w:proofErr w:type="spellStart"/>
      <w:r w:rsidRPr="00C924AA">
        <w:rPr>
          <w:rFonts w:asciiTheme="majorHAnsi" w:hAnsiTheme="majorHAnsi" w:cstheme="majorHAnsi"/>
          <w:sz w:val="22"/>
          <w:szCs w:val="22"/>
        </w:rPr>
        <w:t>Definitions</w:t>
      </w:r>
      <w:proofErr w:type="spellEnd"/>
      <w:r w:rsidRPr="00C924A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C924AA">
        <w:rPr>
          <w:rFonts w:asciiTheme="majorHAnsi" w:hAnsiTheme="majorHAnsi" w:cstheme="majorHAnsi"/>
          <w:sz w:val="22"/>
          <w:szCs w:val="22"/>
        </w:rPr>
        <w:t>and</w:t>
      </w:r>
      <w:proofErr w:type="spellEnd"/>
      <w:r w:rsidRPr="00C924AA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C924AA">
        <w:rPr>
          <w:rFonts w:asciiTheme="majorHAnsi" w:hAnsiTheme="majorHAnsi" w:cstheme="majorHAnsi"/>
          <w:sz w:val="22"/>
          <w:szCs w:val="22"/>
        </w:rPr>
        <w:t>Sources</w:t>
      </w:r>
      <w:proofErr w:type="spellEnd"/>
      <w:r w:rsidRPr="00C924AA">
        <w:rPr>
          <w:rFonts w:asciiTheme="majorHAnsi" w:hAnsiTheme="majorHAnsi" w:cstheme="majorHAnsi"/>
          <w:sz w:val="22"/>
          <w:szCs w:val="22"/>
        </w:rPr>
        <w:t>" na sua planilha contém uma descrição de todos os indicadores no banco de dados. Use as informações fornecidas para explicar brevemente por que cada um dos indicadores listados na Figura 1</w:t>
      </w:r>
      <w:r w:rsidRPr="00C924AA">
        <w:rPr>
          <w:rFonts w:asciiTheme="majorHAnsi" w:hAnsiTheme="majorHAnsi" w:cstheme="majorHAnsi"/>
          <w:sz w:val="22"/>
          <w:szCs w:val="22"/>
        </w:rPr>
        <w:t>,</w:t>
      </w:r>
      <w:r w:rsidRPr="00C924AA">
        <w:rPr>
          <w:rFonts w:asciiTheme="majorHAnsi" w:hAnsiTheme="majorHAnsi" w:cstheme="majorHAnsi"/>
          <w:sz w:val="22"/>
          <w:szCs w:val="22"/>
        </w:rPr>
        <w:t xml:space="preserve"> pode ser uma boa medida dessa categoria ou pode fornecer informações enganosas sobre essa categoria.</w:t>
      </w:r>
    </w:p>
    <w:p w14:paraId="2565E3FE" w14:textId="6DB62F07" w:rsidR="00C924AA" w:rsidRDefault="00C924AA">
      <w:pPr>
        <w:rPr>
          <w:rFonts w:asciiTheme="majorHAnsi" w:hAnsiTheme="majorHAnsi" w:cstheme="majorHAnsi"/>
          <w:sz w:val="22"/>
          <w:szCs w:val="22"/>
        </w:rPr>
      </w:pPr>
      <w:r w:rsidRPr="00C924AA">
        <w:rPr>
          <w:rFonts w:asciiTheme="majorHAnsi" w:hAnsiTheme="majorHAnsi" w:cstheme="majorHAnsi"/>
          <w:sz w:val="22"/>
          <w:szCs w:val="22"/>
        </w:rPr>
        <w:t>A guia "</w:t>
      </w:r>
      <w:r>
        <w:rPr>
          <w:rFonts w:asciiTheme="majorHAnsi" w:hAnsiTheme="majorHAnsi" w:cstheme="majorHAnsi"/>
          <w:sz w:val="22"/>
          <w:szCs w:val="22"/>
        </w:rPr>
        <w:t xml:space="preserve">Data – </w:t>
      </w:r>
      <w:proofErr w:type="spellStart"/>
      <w:r>
        <w:rPr>
          <w:rFonts w:asciiTheme="majorHAnsi" w:hAnsiTheme="majorHAnsi" w:cstheme="majorHAnsi"/>
          <w:sz w:val="22"/>
          <w:szCs w:val="22"/>
        </w:rPr>
        <w:t>June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2016</w:t>
      </w:r>
      <w:r w:rsidRPr="00C924AA">
        <w:rPr>
          <w:rFonts w:asciiTheme="majorHAnsi" w:hAnsiTheme="majorHAnsi" w:cstheme="majorHAnsi"/>
          <w:sz w:val="22"/>
          <w:szCs w:val="22"/>
        </w:rPr>
        <w:t>" contém os valores de cada indicador ao longo do tempo (1960–2014) para vários países ao redor do mundo, embora possam faltar dados para alguns países e anos.</w:t>
      </w:r>
    </w:p>
    <w:p w14:paraId="0B31F062" w14:textId="7508CBB1" w:rsidR="00C924AA" w:rsidRDefault="00C924AA" w:rsidP="00C924AA">
      <w:pPr>
        <w:pStyle w:val="PargrafodaLista"/>
        <w:numPr>
          <w:ilvl w:val="0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C924AA">
        <w:rPr>
          <w:rFonts w:asciiTheme="majorHAnsi" w:hAnsiTheme="majorHAnsi" w:cstheme="majorHAnsi"/>
          <w:sz w:val="22"/>
          <w:szCs w:val="22"/>
        </w:rPr>
        <w:lastRenderedPageBreak/>
        <w:t>Para cada categoria, calcule e interprete o coeficiente de correlação entre os indicadores. Lembre-se de que a correlação entre A e B é igual à correlação entre B e A, portanto, você só precisa calcular a correlação para cada par de itens uma vez. Dica: você pode achar útil exibir as correlações aos pares em uma tabela como a Figura 2.</w:t>
      </w:r>
    </w:p>
    <w:p w14:paraId="6D7B3E88" w14:textId="55AAC580" w:rsidR="00C924AA" w:rsidRPr="00C924AA" w:rsidRDefault="00C924AA" w:rsidP="00C924AA">
      <w:pPr>
        <w:pStyle w:val="Legenda"/>
        <w:rPr>
          <w:rFonts w:asciiTheme="majorHAnsi" w:hAnsiTheme="majorHAnsi" w:cstheme="majorHAnsi"/>
          <w:sz w:val="22"/>
          <w:szCs w:val="22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– Matriz de Coeficientes de Correlação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1693"/>
        <w:gridCol w:w="1693"/>
        <w:gridCol w:w="1693"/>
        <w:gridCol w:w="1693"/>
      </w:tblGrid>
      <w:tr w:rsidR="00C924AA" w:rsidRPr="00C924AA" w14:paraId="2358C6AD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</w:tcPr>
          <w:p w14:paraId="419C0A22" w14:textId="0858693A" w:rsidR="00C924AA" w:rsidRPr="00C924AA" w:rsidRDefault="00C924AA" w:rsidP="00C924A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Variáveis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</w:tcPr>
          <w:p w14:paraId="1A3D8BE1" w14:textId="22616A13" w:rsidR="00C924AA" w:rsidRPr="00C924AA" w:rsidRDefault="00C924AA" w:rsidP="00C924A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GFDD.AI.01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</w:tcPr>
          <w:p w14:paraId="462BEA37" w14:textId="0E2F2084" w:rsidR="00C924AA" w:rsidRPr="00C924AA" w:rsidRDefault="00C924AA" w:rsidP="00C924A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GFDD.AI.02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</w:tcPr>
          <w:p w14:paraId="1DC511A8" w14:textId="40FF119D" w:rsidR="00C924AA" w:rsidRPr="00C924AA" w:rsidRDefault="00C924AA" w:rsidP="00C924A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GFDD.AI.03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</w:tcPr>
          <w:p w14:paraId="2C430D0F" w14:textId="14538D94" w:rsidR="00C924AA" w:rsidRPr="00C924AA" w:rsidRDefault="00C924AA" w:rsidP="00C924A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pt-BR"/>
              </w:rPr>
              <w:t>GFDD.AI.04</w:t>
            </w:r>
          </w:p>
        </w:tc>
      </w:tr>
      <w:tr w:rsidR="00C924AA" w:rsidRPr="00C924AA" w14:paraId="4048D883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1733431D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GFDD.AI.01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4A27DB0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8BC8DBA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495C24E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04C0AD8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</w:t>
            </w:r>
          </w:p>
        </w:tc>
      </w:tr>
      <w:tr w:rsidR="00C924AA" w:rsidRPr="00C924AA" w14:paraId="79698640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5A6DD7A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GFDD.AI.02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D8B5A87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561CB247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5F02157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83BCE64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</w:t>
            </w:r>
          </w:p>
        </w:tc>
      </w:tr>
      <w:tr w:rsidR="00C924AA" w:rsidRPr="00C924AA" w14:paraId="55CD7296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05040BB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GFDD.AI.03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01D02CF7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A59A9D8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CD57A18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34B9C529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–</w:t>
            </w:r>
          </w:p>
        </w:tc>
      </w:tr>
      <w:tr w:rsidR="00C924AA" w:rsidRPr="00C924AA" w14:paraId="07D2D586" w14:textId="77777777" w:rsidTr="00C924AA"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5B1C347" w14:textId="77777777" w:rsidR="00C924AA" w:rsidRPr="00C924AA" w:rsidRDefault="00C924AA" w:rsidP="00C924A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GFDD.AI.04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F9D4C04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607A0B65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451408A5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14:paraId="2C9C6B73" w14:textId="77777777" w:rsidR="00C924AA" w:rsidRPr="00C924AA" w:rsidRDefault="00C924AA" w:rsidP="00C924A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</w:pPr>
            <w:r w:rsidRPr="00C924AA">
              <w:rPr>
                <w:rFonts w:asciiTheme="majorHAnsi" w:eastAsia="Times New Roman" w:hAnsiTheme="majorHAnsi" w:cstheme="majorHAnsi"/>
                <w:color w:val="222222"/>
                <w:sz w:val="20"/>
                <w:szCs w:val="20"/>
                <w:lang w:eastAsia="pt-BR"/>
              </w:rPr>
              <w:t>1</w:t>
            </w:r>
          </w:p>
        </w:tc>
      </w:tr>
    </w:tbl>
    <w:p w14:paraId="3C59A09A" w14:textId="42C9978F" w:rsidR="00C924AA" w:rsidRDefault="00C924AA">
      <w:pPr>
        <w:rPr>
          <w:rFonts w:asciiTheme="majorHAnsi" w:hAnsiTheme="majorHAnsi" w:cstheme="majorHAnsi"/>
          <w:sz w:val="22"/>
          <w:szCs w:val="22"/>
        </w:rPr>
      </w:pPr>
    </w:p>
    <w:p w14:paraId="15D33828" w14:textId="77777777" w:rsidR="008242F2" w:rsidRDefault="008242F2">
      <w:pPr>
        <w:rPr>
          <w:rFonts w:asciiTheme="majorHAnsi" w:hAnsiTheme="majorHAnsi" w:cstheme="majorHAnsi"/>
          <w:sz w:val="22"/>
          <w:szCs w:val="22"/>
        </w:rPr>
      </w:pPr>
      <w:r w:rsidRPr="008242F2">
        <w:rPr>
          <w:rFonts w:asciiTheme="majorHAnsi" w:hAnsiTheme="majorHAnsi" w:cstheme="majorHAnsi"/>
          <w:sz w:val="22"/>
          <w:szCs w:val="22"/>
        </w:rPr>
        <w:t xml:space="preserve">Os gráficos de </w:t>
      </w:r>
      <w:r>
        <w:rPr>
          <w:rFonts w:asciiTheme="majorHAnsi" w:hAnsiTheme="majorHAnsi" w:cstheme="majorHAnsi"/>
          <w:sz w:val="22"/>
          <w:szCs w:val="22"/>
        </w:rPr>
        <w:t>“</w:t>
      </w:r>
      <w:r w:rsidRPr="008242F2">
        <w:rPr>
          <w:rFonts w:asciiTheme="majorHAnsi" w:hAnsiTheme="majorHAnsi" w:cstheme="majorHAnsi"/>
          <w:sz w:val="22"/>
          <w:szCs w:val="22"/>
        </w:rPr>
        <w:t>caixa</w:t>
      </w:r>
      <w:r>
        <w:rPr>
          <w:rFonts w:asciiTheme="majorHAnsi" w:hAnsiTheme="majorHAnsi" w:cstheme="majorHAnsi"/>
          <w:sz w:val="22"/>
          <w:szCs w:val="22"/>
        </w:rPr>
        <w:t>”</w:t>
      </w:r>
      <w:r w:rsidRPr="008242F2">
        <w:rPr>
          <w:rFonts w:asciiTheme="majorHAnsi" w:hAnsiTheme="majorHAnsi" w:cstheme="majorHAnsi"/>
          <w:sz w:val="22"/>
          <w:szCs w:val="22"/>
        </w:rPr>
        <w:t xml:space="preserve"> e </w:t>
      </w:r>
      <w:r>
        <w:rPr>
          <w:rFonts w:asciiTheme="majorHAnsi" w:hAnsiTheme="majorHAnsi" w:cstheme="majorHAnsi"/>
          <w:sz w:val="22"/>
          <w:szCs w:val="22"/>
        </w:rPr>
        <w:t>de “</w:t>
      </w:r>
      <w:r w:rsidRPr="008242F2">
        <w:rPr>
          <w:rFonts w:asciiTheme="majorHAnsi" w:hAnsiTheme="majorHAnsi" w:cstheme="majorHAnsi"/>
          <w:sz w:val="22"/>
          <w:szCs w:val="22"/>
        </w:rPr>
        <w:t>bigode</w:t>
      </w:r>
      <w:r>
        <w:rPr>
          <w:rFonts w:asciiTheme="majorHAnsi" w:hAnsiTheme="majorHAnsi" w:cstheme="majorHAnsi"/>
          <w:sz w:val="22"/>
          <w:szCs w:val="22"/>
        </w:rPr>
        <w:t>”</w:t>
      </w:r>
      <w:r w:rsidRPr="008242F2">
        <w:rPr>
          <w:rFonts w:asciiTheme="majorHAnsi" w:hAnsiTheme="majorHAnsi" w:cstheme="majorHAnsi"/>
          <w:sz w:val="22"/>
          <w:szCs w:val="22"/>
        </w:rPr>
        <w:t xml:space="preserve"> são úteis para examinar uma única variável e verificar se há muitos valores extremos (muito grandes ou muito pequenos, em relação ao restante dos valores).</w:t>
      </w:r>
    </w:p>
    <w:p w14:paraId="34A81056" w14:textId="77777777" w:rsidR="008242F2" w:rsidRDefault="008242F2" w:rsidP="008242F2">
      <w:pPr>
        <w:pStyle w:val="PargrafodaLista"/>
        <w:numPr>
          <w:ilvl w:val="0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8242F2">
        <w:rPr>
          <w:rFonts w:asciiTheme="majorHAnsi" w:hAnsiTheme="majorHAnsi" w:cstheme="majorHAnsi"/>
          <w:sz w:val="22"/>
          <w:szCs w:val="22"/>
        </w:rPr>
        <w:t xml:space="preserve">Faça uma caixa separada e um gráfico de </w:t>
      </w:r>
      <w:r>
        <w:rPr>
          <w:rFonts w:asciiTheme="majorHAnsi" w:hAnsiTheme="majorHAnsi" w:cstheme="majorHAnsi"/>
          <w:sz w:val="22"/>
          <w:szCs w:val="22"/>
        </w:rPr>
        <w:t>“</w:t>
      </w:r>
      <w:r w:rsidRPr="008242F2">
        <w:rPr>
          <w:rFonts w:asciiTheme="majorHAnsi" w:hAnsiTheme="majorHAnsi" w:cstheme="majorHAnsi"/>
          <w:sz w:val="22"/>
          <w:szCs w:val="22"/>
        </w:rPr>
        <w:t>bigodes</w:t>
      </w:r>
      <w:r>
        <w:rPr>
          <w:rFonts w:asciiTheme="majorHAnsi" w:hAnsiTheme="majorHAnsi" w:cstheme="majorHAnsi"/>
          <w:sz w:val="22"/>
          <w:szCs w:val="22"/>
        </w:rPr>
        <w:t>”</w:t>
      </w:r>
      <w:r w:rsidRPr="008242F2">
        <w:rPr>
          <w:rFonts w:asciiTheme="majorHAnsi" w:hAnsiTheme="majorHAnsi" w:cstheme="majorHAnsi"/>
          <w:sz w:val="22"/>
          <w:szCs w:val="22"/>
        </w:rPr>
        <w:t xml:space="preserve"> para cada indicador, com os valores discrepantes exibidos. Ao analisar seus gráficos, valores extremos parecem ser um problema? Na pergunta </w:t>
      </w:r>
      <w:r>
        <w:rPr>
          <w:rFonts w:asciiTheme="majorHAnsi" w:hAnsiTheme="majorHAnsi" w:cstheme="majorHAnsi"/>
          <w:sz w:val="22"/>
          <w:szCs w:val="22"/>
        </w:rPr>
        <w:t>VI</w:t>
      </w:r>
      <w:r w:rsidRPr="008242F2">
        <w:rPr>
          <w:rFonts w:asciiTheme="majorHAnsi" w:hAnsiTheme="majorHAnsi" w:cstheme="majorHAnsi"/>
          <w:sz w:val="22"/>
          <w:szCs w:val="22"/>
        </w:rPr>
        <w:t>, examinaremos uma maneira de lidar com valores extremos se houver a preocupação de que um ou alguns valores extremos afetem significativamente a média.</w:t>
      </w:r>
    </w:p>
    <w:p w14:paraId="4AC81959" w14:textId="15F2802E" w:rsidR="00C924AA" w:rsidRDefault="008242F2" w:rsidP="008242F2">
      <w:pPr>
        <w:rPr>
          <w:rFonts w:asciiTheme="majorHAnsi" w:hAnsiTheme="majorHAnsi" w:cstheme="majorHAnsi"/>
          <w:sz w:val="22"/>
          <w:szCs w:val="22"/>
        </w:rPr>
      </w:pPr>
      <w:r w:rsidRPr="008242F2">
        <w:rPr>
          <w:rFonts w:asciiTheme="majorHAnsi" w:hAnsiTheme="majorHAnsi" w:cstheme="majorHAnsi"/>
          <w:sz w:val="22"/>
          <w:szCs w:val="22"/>
        </w:rPr>
        <w:t xml:space="preserve">Agora, usaremos a opção Tabela Dinâmica do Excel para criar tabelas </w:t>
      </w:r>
      <w:r>
        <w:rPr>
          <w:rFonts w:asciiTheme="majorHAnsi" w:hAnsiTheme="majorHAnsi" w:cstheme="majorHAnsi"/>
          <w:sz w:val="22"/>
          <w:szCs w:val="22"/>
        </w:rPr>
        <w:t>síntese</w:t>
      </w:r>
      <w:r w:rsidRPr="008242F2">
        <w:rPr>
          <w:rFonts w:asciiTheme="majorHAnsi" w:hAnsiTheme="majorHAnsi" w:cstheme="majorHAnsi"/>
          <w:sz w:val="22"/>
          <w:szCs w:val="22"/>
        </w:rPr>
        <w:t xml:space="preserve"> de alguns indicadores e ver como eles mudaram ao longo do tempo. Cada país pertence a uma região e um grupo de renda específicos.</w:t>
      </w:r>
    </w:p>
    <w:p w14:paraId="1BE332D3" w14:textId="77777777" w:rsidR="008242F2" w:rsidRDefault="008242F2" w:rsidP="008242F2">
      <w:pPr>
        <w:pStyle w:val="PargrafodaLista"/>
        <w:numPr>
          <w:ilvl w:val="0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8242F2">
        <w:rPr>
          <w:rFonts w:asciiTheme="majorHAnsi" w:hAnsiTheme="majorHAnsi" w:cstheme="majorHAnsi"/>
          <w:sz w:val="22"/>
          <w:szCs w:val="22"/>
        </w:rPr>
        <w:t>Escolha um indicador em Profundidade</w:t>
      </w:r>
      <w:r>
        <w:rPr>
          <w:rFonts w:asciiTheme="majorHAnsi" w:hAnsiTheme="majorHAnsi" w:cstheme="majorHAnsi"/>
          <w:sz w:val="22"/>
          <w:szCs w:val="22"/>
        </w:rPr>
        <w:t xml:space="preserve"> (</w:t>
      </w:r>
      <w:proofErr w:type="spellStart"/>
      <w:r>
        <w:rPr>
          <w:rFonts w:asciiTheme="majorHAnsi" w:hAnsiTheme="majorHAnsi" w:cstheme="majorHAnsi"/>
          <w:sz w:val="22"/>
          <w:szCs w:val="22"/>
        </w:rPr>
        <w:t>Depth</w:t>
      </w:r>
      <w:proofErr w:type="spellEnd"/>
      <w:r>
        <w:rPr>
          <w:rFonts w:asciiTheme="majorHAnsi" w:hAnsiTheme="majorHAnsi" w:cstheme="majorHAnsi"/>
          <w:sz w:val="22"/>
          <w:szCs w:val="22"/>
        </w:rPr>
        <w:t>)</w:t>
      </w:r>
      <w:r w:rsidRPr="008242F2">
        <w:rPr>
          <w:rFonts w:asciiTheme="majorHAnsi" w:hAnsiTheme="majorHAnsi" w:cstheme="majorHAnsi"/>
          <w:sz w:val="22"/>
          <w:szCs w:val="22"/>
        </w:rPr>
        <w:t xml:space="preserve"> e um indicador no </w:t>
      </w:r>
      <w:r>
        <w:rPr>
          <w:rFonts w:asciiTheme="majorHAnsi" w:hAnsiTheme="majorHAnsi" w:cstheme="majorHAnsi"/>
          <w:sz w:val="22"/>
          <w:szCs w:val="22"/>
        </w:rPr>
        <w:t>“</w:t>
      </w:r>
      <w:proofErr w:type="spellStart"/>
      <w:r w:rsidRPr="008242F2">
        <w:rPr>
          <w:rFonts w:asciiTheme="majorHAnsi" w:hAnsiTheme="majorHAnsi" w:cstheme="majorHAnsi"/>
          <w:sz w:val="22"/>
          <w:szCs w:val="22"/>
        </w:rPr>
        <w:t>Access</w:t>
      </w:r>
      <w:r>
        <w:rPr>
          <w:rFonts w:asciiTheme="majorHAnsi" w:hAnsiTheme="majorHAnsi" w:cstheme="majorHAnsi"/>
          <w:sz w:val="22"/>
          <w:szCs w:val="22"/>
        </w:rPr>
        <w:t>”</w:t>
      </w:r>
      <w:r w:rsidRPr="008242F2">
        <w:rPr>
          <w:rFonts w:asciiTheme="majorHAnsi" w:hAnsiTheme="majorHAnsi" w:cstheme="majorHAnsi"/>
          <w:sz w:val="22"/>
          <w:szCs w:val="22"/>
        </w:rPr>
        <w:t>:</w:t>
      </w:r>
      <w:proofErr w:type="spellEnd"/>
    </w:p>
    <w:p w14:paraId="54E24E4A" w14:textId="77777777" w:rsidR="008242F2" w:rsidRDefault="008242F2" w:rsidP="008242F2">
      <w:pPr>
        <w:pStyle w:val="PargrafodaLista"/>
        <w:numPr>
          <w:ilvl w:val="1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8242F2">
        <w:rPr>
          <w:rFonts w:asciiTheme="majorHAnsi" w:hAnsiTheme="majorHAnsi" w:cstheme="majorHAnsi"/>
          <w:sz w:val="22"/>
          <w:szCs w:val="22"/>
        </w:rPr>
        <w:t>Faça tabelas mostrando a média desses indicadores e o número de observações (contagem), com 'Região' ou 'Grupo de renda'</w:t>
      </w:r>
      <w:r>
        <w:rPr>
          <w:rFonts w:asciiTheme="majorHAnsi" w:hAnsiTheme="majorHAnsi" w:cstheme="majorHAnsi"/>
          <w:sz w:val="22"/>
          <w:szCs w:val="22"/>
        </w:rPr>
        <w:t xml:space="preserve"> (Income </w:t>
      </w:r>
      <w:proofErr w:type="spellStart"/>
      <w:r>
        <w:rPr>
          <w:rFonts w:asciiTheme="majorHAnsi" w:hAnsiTheme="majorHAnsi" w:cstheme="majorHAnsi"/>
          <w:sz w:val="22"/>
          <w:szCs w:val="22"/>
        </w:rPr>
        <w:t>Group</w:t>
      </w:r>
      <w:proofErr w:type="spellEnd"/>
      <w:r>
        <w:rPr>
          <w:rFonts w:asciiTheme="majorHAnsi" w:hAnsiTheme="majorHAnsi" w:cstheme="majorHAnsi"/>
          <w:sz w:val="22"/>
          <w:szCs w:val="22"/>
        </w:rPr>
        <w:t>)</w:t>
      </w:r>
      <w:r w:rsidRPr="008242F2">
        <w:rPr>
          <w:rFonts w:asciiTheme="majorHAnsi" w:hAnsiTheme="majorHAnsi" w:cstheme="majorHAnsi"/>
          <w:sz w:val="22"/>
          <w:szCs w:val="22"/>
        </w:rPr>
        <w:t xml:space="preserve"> como variável (s) da coluna e 'Ano' (apenas 2000–2014) como variável de linha. Faça uma tabela separada para </w:t>
      </w:r>
      <w:r>
        <w:rPr>
          <w:rFonts w:asciiTheme="majorHAnsi" w:hAnsiTheme="majorHAnsi" w:cstheme="majorHAnsi"/>
          <w:sz w:val="22"/>
          <w:szCs w:val="22"/>
        </w:rPr>
        <w:t xml:space="preserve">cada </w:t>
      </w:r>
      <w:r w:rsidRPr="008242F2">
        <w:rPr>
          <w:rFonts w:asciiTheme="majorHAnsi" w:hAnsiTheme="majorHAnsi" w:cstheme="majorHAnsi"/>
          <w:sz w:val="22"/>
          <w:szCs w:val="22"/>
        </w:rPr>
        <w:t>região e grupo de renda.</w:t>
      </w:r>
    </w:p>
    <w:p w14:paraId="6CC2AD3D" w14:textId="77777777" w:rsidR="008242F2" w:rsidRDefault="008242F2" w:rsidP="008242F2">
      <w:pPr>
        <w:pStyle w:val="PargrafodaLista"/>
        <w:numPr>
          <w:ilvl w:val="1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8242F2">
        <w:rPr>
          <w:rFonts w:asciiTheme="majorHAnsi" w:hAnsiTheme="majorHAnsi" w:cstheme="majorHAnsi"/>
          <w:sz w:val="22"/>
          <w:szCs w:val="22"/>
        </w:rPr>
        <w:t>Para cada indicador escolhido, faça um gráfico de linhas com o valor médio do indicador (para região ou grupo de renda) como variável do eixo vertical e ano como variável do eixo horizontal. Comente os padrões que você vê nas regiões / grupos de renda e tempo.</w:t>
      </w:r>
    </w:p>
    <w:p w14:paraId="132C1831" w14:textId="4836AB78" w:rsidR="008242F2" w:rsidRDefault="008242F2" w:rsidP="008242F2">
      <w:pPr>
        <w:rPr>
          <w:rFonts w:asciiTheme="majorHAnsi" w:hAnsiTheme="majorHAnsi" w:cstheme="majorHAnsi"/>
          <w:sz w:val="22"/>
          <w:szCs w:val="22"/>
        </w:rPr>
      </w:pPr>
      <w:r w:rsidRPr="008242F2">
        <w:rPr>
          <w:rFonts w:asciiTheme="majorHAnsi" w:hAnsiTheme="majorHAnsi" w:cstheme="majorHAnsi"/>
          <w:sz w:val="22"/>
          <w:szCs w:val="22"/>
        </w:rPr>
        <w:t>Até o momento, observamos médias simples em que cada observação recebe o mesmo peso (importância); portanto, simplesmente somamos todos os números e dividimos pelo número de observações. No entanto, quando calculamos médias entre regiões ou grupos de renda, podemos considerar o fato de que os países diferem em tamanho (população ou PIB</w:t>
      </w:r>
      <w:r>
        <w:rPr>
          <w:rFonts w:asciiTheme="majorHAnsi" w:hAnsiTheme="majorHAnsi" w:cstheme="majorHAnsi"/>
          <w:sz w:val="22"/>
          <w:szCs w:val="22"/>
        </w:rPr>
        <w:t xml:space="preserve"> – Produto Interno Bruto</w:t>
      </w:r>
      <w:r w:rsidRPr="008242F2">
        <w:rPr>
          <w:rFonts w:asciiTheme="majorHAnsi" w:hAnsiTheme="majorHAnsi" w:cstheme="majorHAnsi"/>
          <w:sz w:val="22"/>
          <w:szCs w:val="22"/>
        </w:rPr>
        <w:t>). Por exemplo, se um país é muito maior que outro, podemos querer que esse país tenha uma influência maior na média. Veja a caixa abaixo para obter mais informações sobre médias ponderadas.</w:t>
      </w:r>
    </w:p>
    <w:p w14:paraId="745CFE78" w14:textId="2063B4F1" w:rsidR="0066254E" w:rsidRDefault="0066254E" w:rsidP="008242F2">
      <w:pPr>
        <w:rPr>
          <w:rFonts w:asciiTheme="majorHAnsi" w:hAnsiTheme="majorHAnsi" w:cstheme="majorHAnsi"/>
          <w:sz w:val="22"/>
          <w:szCs w:val="22"/>
        </w:rPr>
      </w:pPr>
    </w:p>
    <w:p w14:paraId="2C2141C4" w14:textId="5E063227" w:rsidR="0066254E" w:rsidRPr="0066254E" w:rsidRDefault="0066254E" w:rsidP="008242F2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66254E">
        <w:rPr>
          <w:rFonts w:asciiTheme="majorHAnsi" w:hAnsiTheme="majorHAnsi" w:cstheme="majorHAnsi"/>
          <w:b/>
          <w:bCs/>
          <w:sz w:val="22"/>
          <w:szCs w:val="22"/>
        </w:rPr>
        <w:t>Médias ponderadas</w:t>
      </w:r>
    </w:p>
    <w:p w14:paraId="3BF0B53F" w14:textId="77777777" w:rsidR="0066254E" w:rsidRDefault="0066254E" w:rsidP="008242F2">
      <w:pPr>
        <w:rPr>
          <w:rFonts w:asciiTheme="majorHAnsi" w:hAnsiTheme="majorHAnsi" w:cstheme="majorHAnsi"/>
          <w:sz w:val="22"/>
          <w:szCs w:val="22"/>
        </w:rPr>
      </w:pPr>
      <w:r w:rsidRPr="0066254E">
        <w:rPr>
          <w:rFonts w:asciiTheme="majorHAnsi" w:hAnsiTheme="majorHAnsi" w:cstheme="majorHAnsi"/>
          <w:sz w:val="22"/>
          <w:szCs w:val="22"/>
        </w:rPr>
        <w:lastRenderedPageBreak/>
        <w:t>Um exemplo de médias ponderadas</w:t>
      </w:r>
      <w:r>
        <w:rPr>
          <w:rStyle w:val="Refdenotaderodap"/>
          <w:rFonts w:asciiTheme="majorHAnsi" w:hAnsiTheme="majorHAnsi" w:cstheme="majorHAnsi"/>
          <w:sz w:val="22"/>
          <w:szCs w:val="22"/>
        </w:rPr>
        <w:footnoteReference w:id="2"/>
      </w:r>
      <w:r w:rsidRPr="0066254E">
        <w:rPr>
          <w:rFonts w:asciiTheme="majorHAnsi" w:hAnsiTheme="majorHAnsi" w:cstheme="majorHAnsi"/>
          <w:sz w:val="22"/>
          <w:szCs w:val="22"/>
        </w:rPr>
        <w:t xml:space="preserve"> que você provavelmente já experimentou é no cálculo de notas do curso. Normalmente, as notas do curso não são calculadas simplesmente somando as pontuações em todos os componentes e dividindo pelo número de componentes. Em vez disso, determinados componentes, como o exame final, recebem mais importância (influência sobre a nota geral) do que o exame intermediário ou as atribuições do curso.</w:t>
      </w:r>
    </w:p>
    <w:p w14:paraId="2EBEED8B" w14:textId="57BAFFB5" w:rsidR="0066254E" w:rsidRDefault="0066254E" w:rsidP="008242F2">
      <w:pPr>
        <w:rPr>
          <w:rFonts w:asciiTheme="majorHAnsi" w:hAnsiTheme="majorHAnsi" w:cstheme="majorHAnsi"/>
          <w:sz w:val="22"/>
          <w:szCs w:val="22"/>
        </w:rPr>
      </w:pPr>
      <w:r w:rsidRPr="0066254E">
        <w:rPr>
          <w:rFonts w:asciiTheme="majorHAnsi" w:hAnsiTheme="majorHAnsi" w:cstheme="majorHAnsi"/>
          <w:sz w:val="22"/>
          <w:szCs w:val="22"/>
        </w:rPr>
        <w:t>Para calcular a média ponderada, primeiro determinamos o peso de cada componente (são frações ou proporções que somam 1). Em seguida, multiplicamos cada componente pelo seu respectivo peso e somamos todos os componentes. Usando a nota do curso como exemplo, suponha que o exame final valha 70% da nota final e o exame intermediário valha 30%, sendo que ambos serão pontuados em 100. Em seguida, a média ponderada seria:</w:t>
      </w:r>
    </w:p>
    <w:p w14:paraId="15F2D861" w14:textId="0F41CE40" w:rsidR="0066254E" w:rsidRDefault="0066254E" w:rsidP="008242F2">
      <w:pPr>
        <w:rPr>
          <w:rFonts w:asciiTheme="majorHAnsi" w:hAnsiTheme="majorHAnsi" w:cstheme="majorHAnsi"/>
          <w:sz w:val="22"/>
          <w:szCs w:val="22"/>
        </w:rPr>
      </w:pPr>
    </w:p>
    <w:p w14:paraId="6A921D47" w14:textId="2E30C5E9" w:rsidR="0066254E" w:rsidRDefault="0066254E" w:rsidP="008242F2">
      <w:pPr>
        <w:rPr>
          <w:rFonts w:asciiTheme="majorHAnsi" w:hAnsiTheme="majorHAnsi" w:cstheme="majorHAnsi"/>
          <w:sz w:val="22"/>
          <w:szCs w:val="22"/>
        </w:rPr>
      </w:pPr>
      <w:r w:rsidRPr="0066254E">
        <w:rPr>
          <w:rFonts w:asciiTheme="majorHAnsi" w:hAnsiTheme="majorHAnsi" w:cstheme="majorHAnsi"/>
          <w:sz w:val="22"/>
          <w:szCs w:val="22"/>
        </w:rPr>
        <w:t>Nota geral (média ponderada) = (0,7 × nota do exame final) + (0,3 × nota do exame intermediário)</w:t>
      </w:r>
    </w:p>
    <w:p w14:paraId="20254095" w14:textId="502B4BCD" w:rsidR="0066254E" w:rsidRDefault="0066254E" w:rsidP="008242F2">
      <w:pPr>
        <w:rPr>
          <w:rFonts w:asciiTheme="majorHAnsi" w:hAnsiTheme="majorHAnsi" w:cstheme="majorHAnsi"/>
          <w:sz w:val="22"/>
          <w:szCs w:val="22"/>
        </w:rPr>
      </w:pPr>
    </w:p>
    <w:p w14:paraId="4E4BFF08" w14:textId="77777777" w:rsidR="0066254E" w:rsidRDefault="0066254E" w:rsidP="008242F2">
      <w:pPr>
        <w:rPr>
          <w:rFonts w:asciiTheme="majorHAnsi" w:hAnsiTheme="majorHAnsi" w:cstheme="majorHAnsi"/>
          <w:sz w:val="22"/>
          <w:szCs w:val="22"/>
        </w:rPr>
      </w:pPr>
      <w:r w:rsidRPr="0066254E">
        <w:rPr>
          <w:rFonts w:asciiTheme="majorHAnsi" w:hAnsiTheme="majorHAnsi" w:cstheme="majorHAnsi"/>
          <w:sz w:val="22"/>
          <w:szCs w:val="22"/>
        </w:rPr>
        <w:t>Em comparação, a média simples daria a ambos os componentes o mesmo peso:</w:t>
      </w:r>
    </w:p>
    <w:p w14:paraId="2807CFBD" w14:textId="5F462E7B" w:rsidR="0066254E" w:rsidRPr="008242F2" w:rsidRDefault="0066254E" w:rsidP="008242F2">
      <w:pPr>
        <w:rPr>
          <w:rFonts w:asciiTheme="majorHAnsi" w:hAnsiTheme="majorHAnsi" w:cstheme="majorHAnsi"/>
          <w:sz w:val="22"/>
          <w:szCs w:val="22"/>
        </w:rPr>
      </w:pPr>
      <w:r w:rsidRPr="0066254E">
        <w:rPr>
          <w:rFonts w:asciiTheme="majorHAnsi" w:hAnsiTheme="majorHAnsi" w:cstheme="majorHAnsi"/>
          <w:sz w:val="22"/>
          <w:szCs w:val="22"/>
        </w:rPr>
        <w:t>Nota geral (média simples)</w:t>
      </w:r>
      <w:r>
        <w:rPr>
          <w:rFonts w:asciiTheme="majorHAnsi" w:hAnsiTheme="majorHAnsi" w:cstheme="majorHAnsi"/>
          <w:sz w:val="22"/>
          <w:szCs w:val="22"/>
        </w:rPr>
        <w:t xml:space="preserve"> = </w:t>
      </w:r>
      <w:r w:rsidRPr="0066254E">
        <w:rPr>
          <w:rFonts w:asciiTheme="majorHAnsi" w:hAnsiTheme="majorHAnsi" w:cstheme="majorHAnsi"/>
          <w:sz w:val="22"/>
          <w:szCs w:val="22"/>
        </w:rPr>
        <w:t>(0,5 × nota no exame final)</w:t>
      </w:r>
      <w:r w:rsidRPr="0066254E">
        <w:rPr>
          <w:rFonts w:asciiTheme="majorHAnsi" w:hAnsiTheme="majorHAnsi" w:cstheme="majorHAnsi"/>
          <w:sz w:val="22"/>
          <w:szCs w:val="22"/>
        </w:rPr>
        <w:t xml:space="preserve"> </w:t>
      </w:r>
      <w:r w:rsidRPr="0066254E">
        <w:rPr>
          <w:rFonts w:asciiTheme="majorHAnsi" w:hAnsiTheme="majorHAnsi" w:cstheme="majorHAnsi"/>
          <w:sz w:val="22"/>
          <w:szCs w:val="22"/>
        </w:rPr>
        <w:t>+ (0,5 × pontuação no exame intermediário)</w:t>
      </w:r>
    </w:p>
    <w:p w14:paraId="5BECA8FB" w14:textId="0ADF4E38" w:rsidR="00C924AA" w:rsidRDefault="00C924AA">
      <w:pPr>
        <w:rPr>
          <w:rFonts w:asciiTheme="majorHAnsi" w:hAnsiTheme="majorHAnsi" w:cstheme="majorHAnsi"/>
          <w:sz w:val="22"/>
          <w:szCs w:val="22"/>
        </w:rPr>
      </w:pPr>
    </w:p>
    <w:p w14:paraId="3E29CF87" w14:textId="77777777" w:rsidR="008A5EC6" w:rsidRDefault="008A5EC6">
      <w:pPr>
        <w:rPr>
          <w:rFonts w:asciiTheme="majorHAnsi" w:hAnsiTheme="majorHAnsi" w:cstheme="majorHAnsi"/>
          <w:sz w:val="22"/>
          <w:szCs w:val="22"/>
        </w:rPr>
      </w:pPr>
      <w:r w:rsidRPr="008A5EC6">
        <w:rPr>
          <w:rFonts w:asciiTheme="majorHAnsi" w:hAnsiTheme="majorHAnsi" w:cstheme="majorHAnsi"/>
          <w:sz w:val="22"/>
          <w:szCs w:val="22"/>
        </w:rPr>
        <w:t>Para desenvolver sua intuição para esse conceito, você pode experimentar escolhendo valores para a nota do exame final e a nota do exame intermediário e ver como uma alteração em uma das notas afeta as médias ponderadas e simples.</w:t>
      </w:r>
    </w:p>
    <w:p w14:paraId="33C864FB" w14:textId="1EF1E007" w:rsidR="008A5EC6" w:rsidRDefault="008A5EC6">
      <w:pPr>
        <w:rPr>
          <w:rFonts w:asciiTheme="majorHAnsi" w:hAnsiTheme="majorHAnsi" w:cstheme="majorHAnsi"/>
          <w:sz w:val="22"/>
          <w:szCs w:val="22"/>
        </w:rPr>
      </w:pPr>
      <w:r w:rsidRPr="008A5EC6">
        <w:rPr>
          <w:rFonts w:asciiTheme="majorHAnsi" w:hAnsiTheme="majorHAnsi" w:cstheme="majorHAnsi"/>
          <w:sz w:val="22"/>
          <w:szCs w:val="22"/>
        </w:rPr>
        <w:t>O indicador 'Capital regulatório bancário para ativos ponderados pelo risco (%)'</w:t>
      </w:r>
      <w:r w:rsidR="00D860A1">
        <w:rPr>
          <w:rFonts w:asciiTheme="majorHAnsi" w:hAnsiTheme="majorHAnsi" w:cstheme="majorHAnsi"/>
          <w:sz w:val="22"/>
          <w:szCs w:val="22"/>
        </w:rPr>
        <w:t xml:space="preserve"> (</w:t>
      </w:r>
      <w:r w:rsidR="00D860A1" w:rsidRPr="00D860A1">
        <w:rPr>
          <w:rFonts w:asciiTheme="majorHAnsi" w:hAnsiTheme="majorHAnsi" w:cstheme="majorHAnsi"/>
          <w:sz w:val="22"/>
          <w:szCs w:val="22"/>
        </w:rPr>
        <w:t xml:space="preserve">Bank </w:t>
      </w:r>
      <w:proofErr w:type="spellStart"/>
      <w:r w:rsidR="00D860A1" w:rsidRPr="00D860A1">
        <w:rPr>
          <w:rFonts w:asciiTheme="majorHAnsi" w:hAnsiTheme="majorHAnsi" w:cstheme="majorHAnsi"/>
          <w:sz w:val="22"/>
          <w:szCs w:val="22"/>
        </w:rPr>
        <w:t>regulatory</w:t>
      </w:r>
      <w:proofErr w:type="spellEnd"/>
      <w:r w:rsidR="00D860A1" w:rsidRPr="00D860A1">
        <w:rPr>
          <w:rFonts w:asciiTheme="majorHAnsi" w:hAnsiTheme="majorHAnsi" w:cstheme="majorHAnsi"/>
          <w:sz w:val="22"/>
          <w:szCs w:val="22"/>
        </w:rPr>
        <w:t xml:space="preserve"> capital </w:t>
      </w:r>
      <w:proofErr w:type="spellStart"/>
      <w:r w:rsidR="00D860A1" w:rsidRPr="00D860A1">
        <w:rPr>
          <w:rFonts w:asciiTheme="majorHAnsi" w:hAnsiTheme="majorHAnsi" w:cstheme="majorHAnsi"/>
          <w:sz w:val="22"/>
          <w:szCs w:val="22"/>
        </w:rPr>
        <w:t>to</w:t>
      </w:r>
      <w:proofErr w:type="spellEnd"/>
      <w:r w:rsidR="00D860A1" w:rsidRPr="00D860A1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D860A1" w:rsidRPr="00D860A1">
        <w:rPr>
          <w:rFonts w:asciiTheme="majorHAnsi" w:hAnsiTheme="majorHAnsi" w:cstheme="majorHAnsi"/>
          <w:sz w:val="22"/>
          <w:szCs w:val="22"/>
        </w:rPr>
        <w:t>risk-weighted</w:t>
      </w:r>
      <w:proofErr w:type="spellEnd"/>
      <w:r w:rsidR="00D860A1" w:rsidRPr="00D860A1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D860A1" w:rsidRPr="00D860A1">
        <w:rPr>
          <w:rFonts w:asciiTheme="majorHAnsi" w:hAnsiTheme="majorHAnsi" w:cstheme="majorHAnsi"/>
          <w:sz w:val="22"/>
          <w:szCs w:val="22"/>
        </w:rPr>
        <w:t>assets</w:t>
      </w:r>
      <w:proofErr w:type="spellEnd"/>
      <w:r w:rsidR="00D860A1" w:rsidRPr="00D860A1">
        <w:rPr>
          <w:rFonts w:asciiTheme="majorHAnsi" w:hAnsiTheme="majorHAnsi" w:cstheme="majorHAnsi"/>
          <w:sz w:val="22"/>
          <w:szCs w:val="22"/>
        </w:rPr>
        <w:t xml:space="preserve"> %</w:t>
      </w:r>
      <w:r w:rsidR="00D860A1" w:rsidRPr="00D860A1">
        <w:rPr>
          <w:rFonts w:asciiTheme="majorHAnsi" w:hAnsiTheme="majorHAnsi" w:cstheme="majorHAnsi"/>
          <w:sz w:val="22"/>
          <w:szCs w:val="22"/>
        </w:rPr>
        <w:t>)</w:t>
      </w:r>
      <w:r w:rsidRPr="008A5EC6">
        <w:rPr>
          <w:rFonts w:asciiTheme="majorHAnsi" w:hAnsiTheme="majorHAnsi" w:cstheme="majorHAnsi"/>
          <w:sz w:val="22"/>
          <w:szCs w:val="22"/>
        </w:rPr>
        <w:t xml:space="preserve"> no Banco de Dados também usa pesos para contabilizar o fato de que alguns ativos são mais arriscados que outros e, portanto, não devem ser considerados igualmente.</w:t>
      </w:r>
    </w:p>
    <w:p w14:paraId="402C311A" w14:textId="5B925414" w:rsidR="00D860A1" w:rsidRDefault="00D860A1">
      <w:pPr>
        <w:rPr>
          <w:rFonts w:asciiTheme="majorHAnsi" w:hAnsiTheme="majorHAnsi" w:cstheme="majorHAnsi"/>
          <w:sz w:val="22"/>
          <w:szCs w:val="22"/>
        </w:rPr>
      </w:pPr>
    </w:p>
    <w:p w14:paraId="17B065E0" w14:textId="5D85B3D6" w:rsidR="00643BE7" w:rsidRDefault="00643BE7">
      <w:pPr>
        <w:rPr>
          <w:rFonts w:asciiTheme="majorHAnsi" w:hAnsiTheme="majorHAnsi" w:cstheme="majorHAnsi"/>
          <w:sz w:val="22"/>
          <w:szCs w:val="22"/>
        </w:rPr>
      </w:pPr>
      <w:r w:rsidRPr="00643BE7">
        <w:rPr>
          <w:rFonts w:asciiTheme="majorHAnsi" w:hAnsiTheme="majorHAnsi" w:cstheme="majorHAnsi"/>
          <w:sz w:val="22"/>
          <w:szCs w:val="22"/>
        </w:rPr>
        <w:t>Praticaremos o cálculo de médias ponderadas para o indicador 'Contas bancárias por 1.000 adultos'</w:t>
      </w:r>
      <w:r w:rsidRPr="00643BE7">
        <w:rPr>
          <w:rFonts w:asciiTheme="majorHAnsi" w:hAnsiTheme="majorHAnsi" w:cstheme="majorHAnsi"/>
          <w:sz w:val="22"/>
          <w:szCs w:val="22"/>
        </w:rPr>
        <w:t xml:space="preserve"> (</w:t>
      </w:r>
      <w:r w:rsidRPr="00643BE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Bank </w:t>
      </w:r>
      <w:proofErr w:type="spellStart"/>
      <w:r w:rsidRPr="00643BE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accounts</w:t>
      </w:r>
      <w:proofErr w:type="spellEnd"/>
      <w:r w:rsidRPr="00643BE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per 1,000 </w:t>
      </w:r>
      <w:proofErr w:type="spellStart"/>
      <w:r w:rsidRPr="00643BE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adults</w:t>
      </w:r>
      <w:proofErr w:type="spellEnd"/>
      <w:r w:rsidRPr="00643BE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)</w:t>
      </w:r>
      <w:r w:rsidRPr="00643BE7">
        <w:rPr>
          <w:rFonts w:asciiTheme="majorHAnsi" w:hAnsiTheme="majorHAnsi" w:cstheme="majorHAnsi"/>
          <w:sz w:val="22"/>
          <w:szCs w:val="22"/>
        </w:rPr>
        <w:t>, ponderando de acordo com a população total em cada região (para que os países com uma população maior tenham uma influência maior na média). Como faltam dados para alguns países, calcularemos a população total em cada região como a população total de países com dados não ausentes.</w:t>
      </w:r>
    </w:p>
    <w:p w14:paraId="668B0F06" w14:textId="77777777" w:rsidR="00643BE7" w:rsidRDefault="00643BE7" w:rsidP="00643BE7">
      <w:pPr>
        <w:pStyle w:val="PargrafodaLista"/>
        <w:numPr>
          <w:ilvl w:val="0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643BE7">
        <w:rPr>
          <w:rFonts w:asciiTheme="majorHAnsi" w:hAnsiTheme="majorHAnsi" w:cstheme="majorHAnsi"/>
          <w:sz w:val="22"/>
          <w:szCs w:val="22"/>
        </w:rPr>
        <w:t>Para cada região e para os anos de 2004 a 2014:</w:t>
      </w:r>
    </w:p>
    <w:p w14:paraId="77E6D147" w14:textId="77777777" w:rsidR="00643BE7" w:rsidRDefault="00643BE7" w:rsidP="00643BE7">
      <w:pPr>
        <w:pStyle w:val="PargrafodaLista"/>
        <w:numPr>
          <w:ilvl w:val="1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643BE7">
        <w:rPr>
          <w:rFonts w:asciiTheme="majorHAnsi" w:hAnsiTheme="majorHAnsi" w:cstheme="majorHAnsi"/>
          <w:sz w:val="22"/>
          <w:szCs w:val="22"/>
        </w:rPr>
        <w:t>Na guia '</w:t>
      </w:r>
      <w:r>
        <w:rPr>
          <w:rFonts w:asciiTheme="majorHAnsi" w:hAnsiTheme="majorHAnsi" w:cstheme="majorHAnsi"/>
          <w:sz w:val="22"/>
          <w:szCs w:val="22"/>
        </w:rPr>
        <w:t>Data</w:t>
      </w:r>
      <w:r w:rsidRPr="00643BE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–</w:t>
      </w:r>
      <w:r w:rsidRPr="00643BE7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 w:cstheme="majorHAnsi"/>
          <w:sz w:val="22"/>
          <w:szCs w:val="22"/>
        </w:rPr>
        <w:t>June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43BE7">
        <w:rPr>
          <w:rFonts w:asciiTheme="majorHAnsi" w:hAnsiTheme="majorHAnsi" w:cstheme="majorHAnsi"/>
          <w:sz w:val="22"/>
          <w:szCs w:val="22"/>
        </w:rPr>
        <w:t>2016', crie uma variável para o peso, que é a proporção de 'SP.POP.TOTL' e a soma de 'SP.POP.TOTL' para cada país na região e no ano relevantes. Use apenas observações que tenham valores não ausentes para a variável do indicador 'GFDD.AI.01'. Dica: use a função SE do Excel para separar dados com valores não ausentes e, em seguida, use a função SUMIFS do Excel, condicionada a "Região" e "Ano".</w:t>
      </w:r>
    </w:p>
    <w:p w14:paraId="70A4D6D4" w14:textId="77777777" w:rsidR="00643BE7" w:rsidRDefault="00643BE7" w:rsidP="00643BE7">
      <w:pPr>
        <w:pStyle w:val="PargrafodaLista"/>
        <w:numPr>
          <w:ilvl w:val="1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643BE7">
        <w:rPr>
          <w:rFonts w:asciiTheme="majorHAnsi" w:hAnsiTheme="majorHAnsi" w:cstheme="majorHAnsi"/>
          <w:sz w:val="22"/>
          <w:szCs w:val="22"/>
        </w:rPr>
        <w:lastRenderedPageBreak/>
        <w:t>Verifique se sua resposta está correta filtrando os dados de uma região e ano específicos e verificando se os pesos somam 1.</w:t>
      </w:r>
    </w:p>
    <w:p w14:paraId="5F363DB3" w14:textId="77777777" w:rsidR="00643BE7" w:rsidRPr="00643BE7" w:rsidRDefault="00643BE7" w:rsidP="00643BE7">
      <w:pPr>
        <w:pStyle w:val="PargrafodaLista"/>
        <w:numPr>
          <w:ilvl w:val="1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643BE7">
        <w:rPr>
          <w:rFonts w:asciiTheme="majorHAnsi" w:hAnsiTheme="majorHAnsi" w:cstheme="majorHAnsi"/>
          <w:sz w:val="22"/>
          <w:szCs w:val="22"/>
        </w:rPr>
        <w:t>Agora multiplique o indicador "Contas bancárias por 1.000 adultos"</w:t>
      </w:r>
      <w:r w:rsidRPr="00643BE7">
        <w:rPr>
          <w:rFonts w:asciiTheme="majorHAnsi" w:hAnsiTheme="majorHAnsi" w:cstheme="majorHAnsi"/>
          <w:sz w:val="22"/>
          <w:szCs w:val="22"/>
        </w:rPr>
        <w:t xml:space="preserve"> (</w:t>
      </w:r>
      <w:r w:rsidRPr="00643BE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Bank </w:t>
      </w:r>
      <w:proofErr w:type="spellStart"/>
      <w:r w:rsidRPr="00643BE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accounts</w:t>
      </w:r>
      <w:proofErr w:type="spellEnd"/>
      <w:r w:rsidRPr="00643BE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per 1,000 </w:t>
      </w:r>
      <w:proofErr w:type="spellStart"/>
      <w:r w:rsidRPr="00643BE7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adults</w:t>
      </w:r>
      <w:proofErr w:type="spellEnd"/>
      <w:r w:rsidRPr="00643BE7">
        <w:rPr>
          <w:rFonts w:asciiTheme="majorHAnsi" w:hAnsiTheme="majorHAnsi" w:cstheme="majorHAnsi"/>
          <w:sz w:val="22"/>
          <w:szCs w:val="22"/>
        </w:rPr>
        <w:t>)</w:t>
      </w:r>
      <w:r w:rsidRPr="00643BE7">
        <w:rPr>
          <w:rFonts w:asciiTheme="majorHAnsi" w:hAnsiTheme="majorHAnsi" w:cstheme="majorHAnsi"/>
          <w:sz w:val="22"/>
          <w:szCs w:val="22"/>
        </w:rPr>
        <w:t xml:space="preserve"> pelos pesos da Questão </w:t>
      </w:r>
      <w:r w:rsidRPr="00643BE7">
        <w:rPr>
          <w:rFonts w:asciiTheme="majorHAnsi" w:hAnsiTheme="majorHAnsi" w:cstheme="majorHAnsi"/>
          <w:sz w:val="22"/>
          <w:szCs w:val="22"/>
        </w:rPr>
        <w:t>V</w:t>
      </w:r>
      <w:r w:rsidRPr="00643BE7">
        <w:rPr>
          <w:rFonts w:asciiTheme="majorHAnsi" w:hAnsiTheme="majorHAnsi" w:cstheme="majorHAnsi"/>
          <w:sz w:val="22"/>
          <w:szCs w:val="22"/>
        </w:rPr>
        <w:t xml:space="preserve"> (a) e resuma os valores resultantes de acordo com a região para obter a média ponderada. Dica: a opção Tabela Dinâmica do Excel pode ajudar a somar os valores e colocá-los em uma tabela.</w:t>
      </w:r>
    </w:p>
    <w:p w14:paraId="6D50F86C" w14:textId="3DEEEDEA" w:rsidR="00643BE7" w:rsidRPr="00643BE7" w:rsidRDefault="00643BE7" w:rsidP="00643BE7">
      <w:pPr>
        <w:pStyle w:val="PargrafodaLista"/>
        <w:numPr>
          <w:ilvl w:val="1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643BE7">
        <w:rPr>
          <w:rFonts w:asciiTheme="majorHAnsi" w:hAnsiTheme="majorHAnsi" w:cstheme="majorHAnsi"/>
          <w:sz w:val="22"/>
          <w:szCs w:val="22"/>
        </w:rPr>
        <w:t xml:space="preserve">Compare suas respostas à pergunta </w:t>
      </w:r>
      <w:r w:rsidRPr="00643BE7">
        <w:rPr>
          <w:rFonts w:asciiTheme="majorHAnsi" w:hAnsiTheme="majorHAnsi" w:cstheme="majorHAnsi"/>
          <w:sz w:val="22"/>
          <w:szCs w:val="22"/>
        </w:rPr>
        <w:t>V</w:t>
      </w:r>
      <w:r w:rsidRPr="00643BE7">
        <w:rPr>
          <w:rFonts w:asciiTheme="majorHAnsi" w:hAnsiTheme="majorHAnsi" w:cstheme="majorHAnsi"/>
          <w:sz w:val="22"/>
          <w:szCs w:val="22"/>
        </w:rPr>
        <w:t xml:space="preserve"> (c) com as médias simples correspondentes na pergunta </w:t>
      </w:r>
      <w:r w:rsidRPr="00643BE7">
        <w:rPr>
          <w:rFonts w:asciiTheme="majorHAnsi" w:hAnsiTheme="majorHAnsi" w:cstheme="majorHAnsi"/>
          <w:sz w:val="22"/>
          <w:szCs w:val="22"/>
        </w:rPr>
        <w:t>IV</w:t>
      </w:r>
      <w:r w:rsidRPr="00643BE7">
        <w:rPr>
          <w:rFonts w:asciiTheme="majorHAnsi" w:hAnsiTheme="majorHAnsi" w:cstheme="majorHAnsi"/>
          <w:sz w:val="22"/>
          <w:szCs w:val="22"/>
        </w:rPr>
        <w:t xml:space="preserve"> (a) e comente quaisquer semelhanças ou diferenças.</w:t>
      </w:r>
    </w:p>
    <w:p w14:paraId="3B122ABE" w14:textId="4CB434EA" w:rsidR="00C924AA" w:rsidRDefault="00C924AA">
      <w:pPr>
        <w:rPr>
          <w:rFonts w:asciiTheme="majorHAnsi" w:hAnsiTheme="majorHAnsi" w:cstheme="majorHAnsi"/>
          <w:sz w:val="22"/>
          <w:szCs w:val="22"/>
        </w:rPr>
      </w:pPr>
    </w:p>
    <w:p w14:paraId="375CEAF2" w14:textId="617FF4EC" w:rsidR="00B14702" w:rsidRPr="00B14702" w:rsidRDefault="00B14702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B14702">
        <w:rPr>
          <w:rFonts w:asciiTheme="majorHAnsi" w:hAnsiTheme="majorHAnsi" w:cstheme="majorHAnsi"/>
          <w:b/>
          <w:bCs/>
          <w:sz w:val="22"/>
          <w:szCs w:val="22"/>
        </w:rPr>
        <w:t>Adicional: u</w:t>
      </w:r>
      <w:r w:rsidRPr="00B14702">
        <w:rPr>
          <w:rFonts w:asciiTheme="majorHAnsi" w:hAnsiTheme="majorHAnsi" w:cstheme="majorHAnsi"/>
          <w:b/>
          <w:bCs/>
          <w:sz w:val="22"/>
          <w:szCs w:val="22"/>
        </w:rPr>
        <w:t xml:space="preserve">sando </w:t>
      </w:r>
      <w:proofErr w:type="spellStart"/>
      <w:r w:rsidRPr="00B14702">
        <w:rPr>
          <w:rFonts w:asciiTheme="majorHAnsi" w:hAnsiTheme="majorHAnsi" w:cstheme="majorHAnsi"/>
          <w:b/>
          <w:bCs/>
          <w:sz w:val="22"/>
          <w:szCs w:val="22"/>
        </w:rPr>
        <w:t>Winsoriza</w:t>
      </w:r>
      <w:r>
        <w:rPr>
          <w:rFonts w:asciiTheme="majorHAnsi" w:hAnsiTheme="majorHAnsi" w:cstheme="majorHAnsi"/>
          <w:b/>
          <w:bCs/>
          <w:sz w:val="22"/>
          <w:szCs w:val="22"/>
        </w:rPr>
        <w:t>ção</w:t>
      </w:r>
      <w:proofErr w:type="spellEnd"/>
      <w:r>
        <w:rPr>
          <w:rStyle w:val="Refdenotaderodap"/>
          <w:rFonts w:asciiTheme="majorHAnsi" w:hAnsiTheme="majorHAnsi" w:cstheme="majorHAnsi"/>
          <w:b/>
          <w:bCs/>
          <w:sz w:val="22"/>
          <w:szCs w:val="22"/>
        </w:rPr>
        <w:footnoteReference w:id="3"/>
      </w:r>
      <w:r w:rsidRPr="00B14702">
        <w:rPr>
          <w:rFonts w:asciiTheme="majorHAnsi" w:hAnsiTheme="majorHAnsi" w:cstheme="majorHAnsi"/>
          <w:b/>
          <w:bCs/>
          <w:sz w:val="22"/>
          <w:szCs w:val="22"/>
        </w:rPr>
        <w:t xml:space="preserve"> para lidar com valores extremos</w:t>
      </w:r>
    </w:p>
    <w:p w14:paraId="10789B15" w14:textId="77777777" w:rsidR="00666553" w:rsidRDefault="00B14702">
      <w:pPr>
        <w:rPr>
          <w:rFonts w:asciiTheme="majorHAnsi" w:hAnsiTheme="majorHAnsi" w:cstheme="majorHAnsi"/>
          <w:sz w:val="22"/>
          <w:szCs w:val="22"/>
        </w:rPr>
      </w:pPr>
      <w:r w:rsidRPr="00666553">
        <w:rPr>
          <w:rFonts w:asciiTheme="majorHAnsi" w:hAnsiTheme="majorHAnsi" w:cstheme="majorHAnsi"/>
          <w:sz w:val="22"/>
          <w:szCs w:val="22"/>
        </w:rPr>
        <w:t>Se estivermos interessados ​​em combinar indicadores em um único índice, podemos estar preocupados com valores extremos, mas ainda queremos incluir esses países no índice (em vez de excluí-los dos cálculos). Na página 19 do artigo 'Comparando sistemas financeiros em todo o mundo'</w:t>
      </w:r>
      <w:r w:rsidR="00666553" w:rsidRPr="00666553">
        <w:rPr>
          <w:rFonts w:asciiTheme="majorHAnsi" w:hAnsiTheme="majorHAnsi" w:cstheme="majorHAnsi"/>
          <w:sz w:val="22"/>
          <w:szCs w:val="22"/>
        </w:rPr>
        <w:t xml:space="preserve"> (</w:t>
      </w:r>
      <w:hyperlink r:id="rId10" w:tgtFrame="_blank" w:history="1">
        <w:r w:rsidR="00666553" w:rsidRPr="00666553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 xml:space="preserve">Benchmarking financial systems </w:t>
        </w:r>
        <w:proofErr w:type="spellStart"/>
        <w:r w:rsidR="00666553" w:rsidRPr="00666553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>around</w:t>
        </w:r>
        <w:proofErr w:type="spellEnd"/>
        <w:r w:rsidR="00666553" w:rsidRPr="00666553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 xml:space="preserve"> </w:t>
        </w:r>
        <w:proofErr w:type="spellStart"/>
        <w:r w:rsidR="00666553" w:rsidRPr="00666553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>the</w:t>
        </w:r>
        <w:proofErr w:type="spellEnd"/>
        <w:r w:rsidR="00666553" w:rsidRPr="00666553">
          <w:rPr>
            <w:rStyle w:val="Hyperlink"/>
            <w:rFonts w:asciiTheme="majorHAnsi" w:hAnsiTheme="majorHAnsi" w:cstheme="majorHAnsi"/>
            <w:color w:val="037BB5"/>
            <w:sz w:val="22"/>
            <w:szCs w:val="22"/>
            <w:bdr w:val="none" w:sz="0" w:space="0" w:color="auto" w:frame="1"/>
          </w:rPr>
          <w:t xml:space="preserve"> world</w:t>
        </w:r>
      </w:hyperlink>
      <w:r w:rsidR="00666553" w:rsidRPr="00666553">
        <w:rPr>
          <w:rFonts w:asciiTheme="majorHAnsi" w:hAnsiTheme="majorHAnsi" w:cstheme="majorHAnsi"/>
          <w:sz w:val="22"/>
          <w:szCs w:val="22"/>
        </w:rPr>
        <w:t>)</w:t>
      </w:r>
      <w:r w:rsidRPr="00666553">
        <w:rPr>
          <w:rFonts w:asciiTheme="majorHAnsi" w:hAnsiTheme="majorHAnsi" w:cstheme="majorHAnsi"/>
          <w:sz w:val="22"/>
          <w:szCs w:val="22"/>
        </w:rPr>
        <w:t>,</w:t>
      </w:r>
      <w:r w:rsidRPr="00B14702">
        <w:rPr>
          <w:rFonts w:asciiTheme="majorHAnsi" w:hAnsiTheme="majorHAnsi" w:cstheme="majorHAnsi"/>
          <w:sz w:val="22"/>
          <w:szCs w:val="22"/>
        </w:rPr>
        <w:t xml:space="preserve"> os autores discutem a </w:t>
      </w:r>
      <w:proofErr w:type="spellStart"/>
      <w:r w:rsidRPr="00B14702">
        <w:rPr>
          <w:rFonts w:asciiTheme="majorHAnsi" w:hAnsiTheme="majorHAnsi" w:cstheme="majorHAnsi"/>
          <w:sz w:val="22"/>
          <w:szCs w:val="22"/>
        </w:rPr>
        <w:t>Winsorization</w:t>
      </w:r>
      <w:proofErr w:type="spellEnd"/>
      <w:r w:rsidRPr="00B14702">
        <w:rPr>
          <w:rFonts w:asciiTheme="majorHAnsi" w:hAnsiTheme="majorHAnsi" w:cstheme="majorHAnsi"/>
          <w:sz w:val="22"/>
          <w:szCs w:val="22"/>
        </w:rPr>
        <w:t xml:space="preserve"> (substituindo valores extremos pelo valor do percentil 95 ou 5) como uma maneira de lidar com esses valores extremos. Às vezes, os valores extremos são devidos a características peculiares de um único país; portanto, convém ajustar os dados para torná-los "menos extremos".</w:t>
      </w:r>
    </w:p>
    <w:p w14:paraId="4CCF127C" w14:textId="77777777" w:rsidR="00666553" w:rsidRDefault="00B14702" w:rsidP="00666553">
      <w:pPr>
        <w:pStyle w:val="PargrafodaLista"/>
        <w:numPr>
          <w:ilvl w:val="0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666553">
        <w:rPr>
          <w:rFonts w:asciiTheme="majorHAnsi" w:hAnsiTheme="majorHAnsi" w:cstheme="majorHAnsi"/>
          <w:sz w:val="22"/>
          <w:szCs w:val="22"/>
        </w:rPr>
        <w:t xml:space="preserve">Para um indicador que você usou nas perguntas </w:t>
      </w:r>
      <w:r w:rsidR="00666553" w:rsidRPr="00666553">
        <w:rPr>
          <w:rFonts w:asciiTheme="majorHAnsi" w:hAnsiTheme="majorHAnsi" w:cstheme="majorHAnsi"/>
          <w:sz w:val="22"/>
          <w:szCs w:val="22"/>
        </w:rPr>
        <w:t>IV</w:t>
      </w:r>
      <w:r w:rsidRPr="00666553">
        <w:rPr>
          <w:rFonts w:asciiTheme="majorHAnsi" w:hAnsiTheme="majorHAnsi" w:cstheme="majorHAnsi"/>
          <w:sz w:val="22"/>
          <w:szCs w:val="22"/>
        </w:rPr>
        <w:t xml:space="preserve"> e </w:t>
      </w:r>
      <w:r w:rsidR="00666553" w:rsidRPr="00666553">
        <w:rPr>
          <w:rFonts w:asciiTheme="majorHAnsi" w:hAnsiTheme="majorHAnsi" w:cstheme="majorHAnsi"/>
          <w:sz w:val="22"/>
          <w:szCs w:val="22"/>
        </w:rPr>
        <w:t>V</w:t>
      </w:r>
      <w:r w:rsidRPr="00666553">
        <w:rPr>
          <w:rFonts w:asciiTheme="majorHAnsi" w:hAnsiTheme="majorHAnsi" w:cstheme="majorHAnsi"/>
          <w:sz w:val="22"/>
          <w:szCs w:val="22"/>
        </w:rPr>
        <w:t xml:space="preserve"> e para o ano de 2010:</w:t>
      </w:r>
    </w:p>
    <w:p w14:paraId="1105948E" w14:textId="77777777" w:rsidR="00666553" w:rsidRDefault="00B14702" w:rsidP="00666553">
      <w:pPr>
        <w:pStyle w:val="PargrafodaLista"/>
        <w:numPr>
          <w:ilvl w:val="1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666553">
        <w:rPr>
          <w:rFonts w:asciiTheme="majorHAnsi" w:hAnsiTheme="majorHAnsi" w:cstheme="majorHAnsi"/>
          <w:sz w:val="22"/>
          <w:szCs w:val="22"/>
        </w:rPr>
        <w:t>Calcule o valor dos percentis 95 e 5 desse indicador em todos os países. Dica: use a função PERCENTILE.INC do Excel.</w:t>
      </w:r>
    </w:p>
    <w:p w14:paraId="4B82981C" w14:textId="77777777" w:rsidR="00666553" w:rsidRDefault="00B14702" w:rsidP="00666553">
      <w:pPr>
        <w:pStyle w:val="PargrafodaLista"/>
        <w:numPr>
          <w:ilvl w:val="1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666553">
        <w:rPr>
          <w:rFonts w:asciiTheme="majorHAnsi" w:hAnsiTheme="majorHAnsi" w:cstheme="majorHAnsi"/>
          <w:sz w:val="22"/>
          <w:szCs w:val="22"/>
        </w:rPr>
        <w:t>Substitua qualquer valor maior que o valor do percentil 95 pelo valor do percentil 95 e substitua qualquer valor menor que o valor do 5º percentil pelo valor do 5º percentil. Dica: use a função SE do Excel.</w:t>
      </w:r>
    </w:p>
    <w:p w14:paraId="36B6250E" w14:textId="30DC20FD" w:rsidR="00B14702" w:rsidRPr="00666553" w:rsidRDefault="00B14702" w:rsidP="00666553">
      <w:pPr>
        <w:pStyle w:val="PargrafodaLista"/>
        <w:numPr>
          <w:ilvl w:val="1"/>
          <w:numId w:val="48"/>
        </w:numPr>
        <w:rPr>
          <w:rFonts w:asciiTheme="majorHAnsi" w:hAnsiTheme="majorHAnsi" w:cstheme="majorHAnsi"/>
          <w:sz w:val="22"/>
          <w:szCs w:val="22"/>
        </w:rPr>
      </w:pPr>
      <w:r w:rsidRPr="00666553">
        <w:rPr>
          <w:rFonts w:asciiTheme="majorHAnsi" w:hAnsiTheme="majorHAnsi" w:cstheme="majorHAnsi"/>
          <w:sz w:val="22"/>
          <w:szCs w:val="22"/>
        </w:rPr>
        <w:t>Use os valores "</w:t>
      </w:r>
      <w:proofErr w:type="spellStart"/>
      <w:r w:rsidRPr="00666553">
        <w:rPr>
          <w:rFonts w:asciiTheme="majorHAnsi" w:hAnsiTheme="majorHAnsi" w:cstheme="majorHAnsi"/>
          <w:sz w:val="22"/>
          <w:szCs w:val="22"/>
        </w:rPr>
        <w:t>Winsorized</w:t>
      </w:r>
      <w:proofErr w:type="spellEnd"/>
      <w:r w:rsidRPr="00666553">
        <w:rPr>
          <w:rFonts w:asciiTheme="majorHAnsi" w:hAnsiTheme="majorHAnsi" w:cstheme="majorHAnsi"/>
          <w:sz w:val="22"/>
          <w:szCs w:val="22"/>
        </w:rPr>
        <w:t xml:space="preserve">" da pergunta </w:t>
      </w:r>
      <w:r w:rsidR="00666553">
        <w:rPr>
          <w:rFonts w:asciiTheme="majorHAnsi" w:hAnsiTheme="majorHAnsi" w:cstheme="majorHAnsi"/>
          <w:sz w:val="22"/>
          <w:szCs w:val="22"/>
        </w:rPr>
        <w:t>VI</w:t>
      </w:r>
      <w:r w:rsidRPr="00666553">
        <w:rPr>
          <w:rFonts w:asciiTheme="majorHAnsi" w:hAnsiTheme="majorHAnsi" w:cstheme="majorHAnsi"/>
          <w:sz w:val="22"/>
          <w:szCs w:val="22"/>
        </w:rPr>
        <w:t xml:space="preserve"> (b) para calcular os valores médios do indicador, por região e grupo de renda (separadamente). Compare esses valores com as médias simples da pergunta </w:t>
      </w:r>
      <w:r w:rsidR="00666553">
        <w:rPr>
          <w:rFonts w:asciiTheme="majorHAnsi" w:hAnsiTheme="majorHAnsi" w:cstheme="majorHAnsi"/>
          <w:sz w:val="22"/>
          <w:szCs w:val="22"/>
        </w:rPr>
        <w:t>IV</w:t>
      </w:r>
      <w:r w:rsidRPr="00666553">
        <w:rPr>
          <w:rFonts w:asciiTheme="majorHAnsi" w:hAnsiTheme="majorHAnsi" w:cstheme="majorHAnsi"/>
          <w:sz w:val="22"/>
          <w:szCs w:val="22"/>
        </w:rPr>
        <w:t xml:space="preserve"> (a).</w:t>
      </w:r>
    </w:p>
    <w:p w14:paraId="3BC9F226" w14:textId="07EA4E53" w:rsidR="00C924AA" w:rsidRDefault="00C924AA">
      <w:pPr>
        <w:rPr>
          <w:rFonts w:asciiTheme="majorHAnsi" w:hAnsiTheme="majorHAnsi" w:cstheme="majorHAnsi"/>
          <w:sz w:val="22"/>
          <w:szCs w:val="22"/>
        </w:rPr>
      </w:pPr>
    </w:p>
    <w:p w14:paraId="42CB7369" w14:textId="14A3522D" w:rsidR="00666553" w:rsidRPr="005B4B3E" w:rsidRDefault="00377977" w:rsidP="005B4B3E">
      <w:pPr>
        <w:pStyle w:val="PargrafodaLista"/>
        <w:numPr>
          <w:ilvl w:val="0"/>
          <w:numId w:val="2"/>
        </w:numPr>
        <w:rPr>
          <w:rFonts w:asciiTheme="majorHAnsi" w:hAnsiTheme="majorHAnsi" w:cstheme="majorHAnsi"/>
          <w:b/>
          <w:bCs/>
          <w:sz w:val="28"/>
          <w:szCs w:val="28"/>
        </w:rPr>
      </w:pPr>
      <w:r w:rsidRPr="005B4B3E">
        <w:rPr>
          <w:rFonts w:asciiTheme="majorHAnsi" w:hAnsiTheme="majorHAnsi" w:cstheme="majorHAnsi"/>
          <w:b/>
          <w:bCs/>
          <w:sz w:val="28"/>
          <w:szCs w:val="28"/>
        </w:rPr>
        <w:t>Comparando a estabilidade financeira antes e depois da crise financeira global de 2008</w:t>
      </w:r>
    </w:p>
    <w:p w14:paraId="45C62EC1" w14:textId="625CD022" w:rsidR="00C924AA" w:rsidRDefault="00C924AA">
      <w:pPr>
        <w:rPr>
          <w:rFonts w:asciiTheme="majorHAnsi" w:hAnsiTheme="majorHAnsi" w:cstheme="majorHAnsi"/>
          <w:sz w:val="22"/>
          <w:szCs w:val="22"/>
        </w:rPr>
      </w:pPr>
    </w:p>
    <w:p w14:paraId="36EDAB6D" w14:textId="77777777" w:rsidR="003507DC" w:rsidRDefault="003507DC">
      <w:pPr>
        <w:rPr>
          <w:rFonts w:asciiTheme="majorHAnsi" w:hAnsiTheme="majorHAnsi" w:cstheme="majorHAnsi"/>
          <w:sz w:val="22"/>
          <w:szCs w:val="22"/>
        </w:rPr>
      </w:pPr>
      <w:r w:rsidRPr="003507DC">
        <w:rPr>
          <w:rFonts w:asciiTheme="majorHAnsi" w:hAnsiTheme="majorHAnsi" w:cstheme="majorHAnsi"/>
          <w:sz w:val="22"/>
          <w:szCs w:val="22"/>
        </w:rPr>
        <w:t>Agora avaliaremos se a estabilidade financeira (medida pelos dois indicadores da Figura 1) mudou desde a crise financeira global de 2008.</w:t>
      </w:r>
    </w:p>
    <w:p w14:paraId="1DA98677" w14:textId="193A087F" w:rsidR="005B4B3E" w:rsidRPr="003507DC" w:rsidRDefault="003507DC" w:rsidP="003507DC">
      <w:pPr>
        <w:pStyle w:val="PargrafodaLista"/>
        <w:numPr>
          <w:ilvl w:val="0"/>
          <w:numId w:val="49"/>
        </w:numPr>
        <w:rPr>
          <w:rFonts w:asciiTheme="majorHAnsi" w:hAnsiTheme="majorHAnsi" w:cstheme="majorHAnsi"/>
          <w:sz w:val="22"/>
          <w:szCs w:val="22"/>
        </w:rPr>
      </w:pPr>
      <w:r w:rsidRPr="003507DC">
        <w:rPr>
          <w:rFonts w:asciiTheme="majorHAnsi" w:hAnsiTheme="majorHAnsi" w:cstheme="majorHAnsi"/>
          <w:sz w:val="22"/>
          <w:szCs w:val="22"/>
        </w:rPr>
        <w:t xml:space="preserve">Para ambos os indicadores de estabilidade na Figura 1, explique que efeito os regulamentos bancários pós-crise provavelmente terão sobre o valor do indicador (por exemplo, o valor aumentaria ou diminuiria) e por quê. Você pode achar útil pesquisar </w:t>
      </w:r>
      <w:r w:rsidRPr="003507DC">
        <w:rPr>
          <w:rFonts w:asciiTheme="majorHAnsi" w:hAnsiTheme="majorHAnsi" w:cstheme="majorHAnsi"/>
          <w:sz w:val="22"/>
          <w:szCs w:val="22"/>
        </w:rPr>
        <w:lastRenderedPageBreak/>
        <w:t>os regulamentos que foram implementados como resultado da crise financeira global de 2008.</w:t>
      </w:r>
    </w:p>
    <w:p w14:paraId="6043B80C" w14:textId="77777777" w:rsidR="003507DC" w:rsidRDefault="003507DC" w:rsidP="003507DC">
      <w:pPr>
        <w:pStyle w:val="PargrafodaLista"/>
        <w:numPr>
          <w:ilvl w:val="0"/>
          <w:numId w:val="49"/>
        </w:numPr>
        <w:rPr>
          <w:rFonts w:asciiTheme="majorHAnsi" w:hAnsiTheme="majorHAnsi" w:cstheme="majorHAnsi"/>
          <w:sz w:val="22"/>
          <w:szCs w:val="22"/>
        </w:rPr>
      </w:pPr>
      <w:r w:rsidRPr="003507DC">
        <w:rPr>
          <w:rFonts w:asciiTheme="majorHAnsi" w:hAnsiTheme="majorHAnsi" w:cstheme="majorHAnsi"/>
          <w:sz w:val="22"/>
          <w:szCs w:val="22"/>
        </w:rPr>
        <w:t>Para os anos de 2007 e 2014:</w:t>
      </w:r>
    </w:p>
    <w:p w14:paraId="79614859" w14:textId="77777777" w:rsidR="003507DC" w:rsidRDefault="003507DC" w:rsidP="003507DC">
      <w:pPr>
        <w:pStyle w:val="PargrafodaLista"/>
        <w:numPr>
          <w:ilvl w:val="1"/>
          <w:numId w:val="49"/>
        </w:numPr>
        <w:rPr>
          <w:rFonts w:asciiTheme="majorHAnsi" w:hAnsiTheme="majorHAnsi" w:cstheme="majorHAnsi"/>
          <w:sz w:val="22"/>
          <w:szCs w:val="22"/>
        </w:rPr>
      </w:pPr>
      <w:r w:rsidRPr="003507DC">
        <w:rPr>
          <w:rFonts w:asciiTheme="majorHAnsi" w:hAnsiTheme="majorHAnsi" w:cstheme="majorHAnsi"/>
          <w:sz w:val="22"/>
          <w:szCs w:val="22"/>
        </w:rPr>
        <w:t>Use a opção Tabela Dinâmica do Excel para criar tabelas mostrando a média desses indicadores, com 'Região' ou 'Grupo de renda' como variável (s) de linha e 'ano' (apenas 2000–2014) como variável de coluna. Faça uma tabela separada para região e grupo de renda.</w:t>
      </w:r>
    </w:p>
    <w:p w14:paraId="30936709" w14:textId="77777777" w:rsidR="003507DC" w:rsidRDefault="003507DC" w:rsidP="003507DC">
      <w:pPr>
        <w:pStyle w:val="PargrafodaLista"/>
        <w:numPr>
          <w:ilvl w:val="1"/>
          <w:numId w:val="49"/>
        </w:numPr>
        <w:rPr>
          <w:rFonts w:asciiTheme="majorHAnsi" w:hAnsiTheme="majorHAnsi" w:cstheme="majorHAnsi"/>
          <w:sz w:val="22"/>
          <w:szCs w:val="22"/>
        </w:rPr>
      </w:pPr>
      <w:r w:rsidRPr="003507DC">
        <w:rPr>
          <w:rFonts w:asciiTheme="majorHAnsi" w:hAnsiTheme="majorHAnsi" w:cstheme="majorHAnsi"/>
          <w:sz w:val="22"/>
          <w:szCs w:val="22"/>
        </w:rPr>
        <w:t>Adicione uma coluna mostrando a diferença de médias (2014 menos 2007).</w:t>
      </w:r>
    </w:p>
    <w:p w14:paraId="5B3C0236" w14:textId="77777777" w:rsidR="003507DC" w:rsidRDefault="003507DC" w:rsidP="003507DC">
      <w:pPr>
        <w:pStyle w:val="PargrafodaLista"/>
        <w:numPr>
          <w:ilvl w:val="1"/>
          <w:numId w:val="49"/>
        </w:numPr>
        <w:rPr>
          <w:rFonts w:asciiTheme="majorHAnsi" w:hAnsiTheme="majorHAnsi" w:cstheme="majorHAnsi"/>
          <w:sz w:val="22"/>
          <w:szCs w:val="22"/>
        </w:rPr>
      </w:pPr>
      <w:r w:rsidRPr="003507DC">
        <w:rPr>
          <w:rFonts w:asciiTheme="majorHAnsi" w:hAnsiTheme="majorHAnsi" w:cstheme="majorHAnsi"/>
          <w:sz w:val="22"/>
          <w:szCs w:val="22"/>
        </w:rPr>
        <w:t>Adicione quatro colunas extras contendo o desvio padrão e o número de observações para cada ano. Calcule o desvio padrão para a diferença de médias e o número de observações nos dois anos.</w:t>
      </w:r>
    </w:p>
    <w:p w14:paraId="3AF5BD68" w14:textId="21E4A288" w:rsidR="00C924AA" w:rsidRPr="003507DC" w:rsidRDefault="003507DC" w:rsidP="003507DC">
      <w:pPr>
        <w:pStyle w:val="PargrafodaLista"/>
        <w:numPr>
          <w:ilvl w:val="1"/>
          <w:numId w:val="49"/>
        </w:numPr>
        <w:rPr>
          <w:rFonts w:asciiTheme="majorHAnsi" w:hAnsiTheme="majorHAnsi" w:cstheme="majorHAnsi"/>
          <w:sz w:val="22"/>
          <w:szCs w:val="22"/>
        </w:rPr>
      </w:pPr>
      <w:r w:rsidRPr="003507DC">
        <w:rPr>
          <w:rFonts w:asciiTheme="majorHAnsi" w:hAnsiTheme="majorHAnsi" w:cstheme="majorHAnsi"/>
          <w:sz w:val="22"/>
          <w:szCs w:val="22"/>
        </w:rPr>
        <w:t>Use a função CONFIDENCE.T do Excel para calcular o intervalo de confiança de 95% 'largura' da diferença de médias (a distância de uma extremidade do intervalo à média).</w:t>
      </w:r>
    </w:p>
    <w:p w14:paraId="36E8DE27" w14:textId="77777777" w:rsidR="003507DC" w:rsidRDefault="003507DC" w:rsidP="003507DC">
      <w:pPr>
        <w:pStyle w:val="PargrafodaLista"/>
        <w:numPr>
          <w:ilvl w:val="0"/>
          <w:numId w:val="49"/>
        </w:numPr>
        <w:rPr>
          <w:rFonts w:asciiTheme="majorHAnsi" w:hAnsiTheme="majorHAnsi" w:cstheme="majorHAnsi"/>
          <w:sz w:val="22"/>
          <w:szCs w:val="22"/>
        </w:rPr>
      </w:pPr>
      <w:r w:rsidRPr="003507DC">
        <w:rPr>
          <w:rFonts w:asciiTheme="majorHAnsi" w:hAnsiTheme="majorHAnsi" w:cstheme="majorHAnsi"/>
          <w:sz w:val="22"/>
          <w:szCs w:val="22"/>
        </w:rPr>
        <w:t>Para cada indicador:</w:t>
      </w:r>
    </w:p>
    <w:p w14:paraId="55ED733A" w14:textId="77777777" w:rsidR="003507DC" w:rsidRDefault="003507DC" w:rsidP="003507DC">
      <w:pPr>
        <w:pStyle w:val="PargrafodaLista"/>
        <w:numPr>
          <w:ilvl w:val="1"/>
          <w:numId w:val="49"/>
        </w:numPr>
        <w:rPr>
          <w:rFonts w:asciiTheme="majorHAnsi" w:hAnsiTheme="majorHAnsi" w:cstheme="majorHAnsi"/>
          <w:sz w:val="22"/>
          <w:szCs w:val="22"/>
        </w:rPr>
      </w:pPr>
      <w:r w:rsidRPr="003507DC">
        <w:rPr>
          <w:rFonts w:asciiTheme="majorHAnsi" w:hAnsiTheme="majorHAnsi" w:cstheme="majorHAnsi"/>
          <w:sz w:val="22"/>
          <w:szCs w:val="22"/>
        </w:rPr>
        <w:t xml:space="preserve">Plote gráficos de colunas (um para regiões e outro para grupos de renda) mostrando as diferenças no eixo vertical e o indicador no eixo horizontal. Adicione os intervalos de confiança da pergunta </w:t>
      </w:r>
      <w:r>
        <w:rPr>
          <w:rFonts w:asciiTheme="majorHAnsi" w:hAnsiTheme="majorHAnsi" w:cstheme="majorHAnsi"/>
          <w:sz w:val="22"/>
          <w:szCs w:val="22"/>
        </w:rPr>
        <w:t>II</w:t>
      </w:r>
      <w:r w:rsidRPr="003507DC">
        <w:rPr>
          <w:rFonts w:asciiTheme="majorHAnsi" w:hAnsiTheme="majorHAnsi" w:cstheme="majorHAnsi"/>
          <w:sz w:val="22"/>
          <w:szCs w:val="22"/>
        </w:rPr>
        <w:t xml:space="preserve"> (d) aos seus </w:t>
      </w:r>
      <w:proofErr w:type="spellStart"/>
      <w:r w:rsidRPr="003507DC">
        <w:rPr>
          <w:rFonts w:asciiTheme="majorHAnsi" w:hAnsiTheme="majorHAnsi" w:cstheme="majorHAnsi"/>
          <w:sz w:val="22"/>
          <w:szCs w:val="22"/>
        </w:rPr>
        <w:t>gráficos.</w:t>
      </w:r>
    </w:p>
    <w:p w14:paraId="72733C71" w14:textId="3A096155" w:rsidR="002E62CE" w:rsidRPr="003507DC" w:rsidRDefault="003507DC" w:rsidP="003507DC">
      <w:pPr>
        <w:pStyle w:val="PargrafodaLista"/>
        <w:numPr>
          <w:ilvl w:val="1"/>
          <w:numId w:val="49"/>
        </w:numPr>
        <w:rPr>
          <w:rFonts w:asciiTheme="majorHAnsi" w:hAnsiTheme="majorHAnsi" w:cstheme="majorHAnsi"/>
          <w:sz w:val="22"/>
          <w:szCs w:val="22"/>
        </w:rPr>
      </w:pPr>
      <w:proofErr w:type="spellEnd"/>
      <w:r w:rsidRPr="003507DC">
        <w:rPr>
          <w:rFonts w:asciiTheme="majorHAnsi" w:hAnsiTheme="majorHAnsi" w:cstheme="majorHAnsi"/>
          <w:sz w:val="22"/>
          <w:szCs w:val="22"/>
        </w:rPr>
        <w:t>Interprete suas descobertas. Há evidências de que a estabilidade aumentou desde a crise financeira global de 2008? Observe que "capital regulatório bancário para ativos ponderados pelo risco"</w:t>
      </w:r>
      <w:r w:rsidRPr="003507DC">
        <w:rPr>
          <w:rFonts w:asciiTheme="majorHAnsi" w:hAnsiTheme="majorHAnsi" w:cstheme="majorHAnsi"/>
          <w:sz w:val="22"/>
          <w:szCs w:val="22"/>
        </w:rPr>
        <w:t xml:space="preserve"> (</w:t>
      </w:r>
      <w:r w:rsidRPr="003507DC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Bank </w:t>
      </w:r>
      <w:proofErr w:type="spellStart"/>
      <w:r w:rsidRPr="003507DC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regulatory</w:t>
      </w:r>
      <w:proofErr w:type="spellEnd"/>
      <w:r w:rsidRPr="003507DC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capital </w:t>
      </w:r>
      <w:proofErr w:type="spellStart"/>
      <w:r w:rsidRPr="003507DC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to</w:t>
      </w:r>
      <w:proofErr w:type="spellEnd"/>
      <w:r w:rsidRPr="003507DC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3507DC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risk-weighted</w:t>
      </w:r>
      <w:proofErr w:type="spellEnd"/>
      <w:r w:rsidRPr="003507DC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3507DC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assets</w:t>
      </w:r>
      <w:proofErr w:type="spellEnd"/>
      <w:r w:rsidRPr="003507DC">
        <w:rPr>
          <w:rFonts w:asciiTheme="majorHAnsi" w:hAnsiTheme="majorHAnsi" w:cstheme="majorHAnsi"/>
          <w:sz w:val="22"/>
          <w:szCs w:val="22"/>
        </w:rPr>
        <w:t>)</w:t>
      </w:r>
      <w:r w:rsidRPr="003507DC">
        <w:rPr>
          <w:rFonts w:asciiTheme="majorHAnsi" w:hAnsiTheme="majorHAnsi" w:cstheme="majorHAnsi"/>
          <w:sz w:val="22"/>
          <w:szCs w:val="22"/>
        </w:rPr>
        <w:t xml:space="preserve"> está inversamente relacionado ao índice de alavancagem</w:t>
      </w:r>
      <w:r w:rsidRPr="003507DC">
        <w:rPr>
          <w:rStyle w:val="Refdenotaderodap"/>
          <w:rFonts w:asciiTheme="majorHAnsi" w:hAnsiTheme="majorHAnsi" w:cstheme="majorHAnsi"/>
          <w:sz w:val="22"/>
          <w:szCs w:val="22"/>
        </w:rPr>
        <w:footnoteReference w:id="4"/>
      </w:r>
      <w:r w:rsidRPr="003507DC">
        <w:rPr>
          <w:rFonts w:asciiTheme="majorHAnsi" w:hAnsiTheme="majorHAnsi" w:cstheme="majorHAnsi"/>
          <w:sz w:val="22"/>
          <w:szCs w:val="22"/>
        </w:rPr>
        <w:t>. Altos índices de alavancagem foram comuns no período que antecedeu a crise de 2008 e contribuíram para a instabilidade financeira.)</w:t>
      </w:r>
    </w:p>
    <w:p w14:paraId="7ED4AE1B" w14:textId="77777777" w:rsidR="003507DC" w:rsidRDefault="003507DC">
      <w:pPr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</w:p>
    <w:sectPr w:rsidR="003507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A6D63" w14:textId="77777777" w:rsidR="00F82B4D" w:rsidRDefault="00F82B4D" w:rsidP="004739A4">
      <w:pPr>
        <w:spacing w:after="0" w:line="240" w:lineRule="auto"/>
      </w:pPr>
      <w:r>
        <w:separator/>
      </w:r>
    </w:p>
  </w:endnote>
  <w:endnote w:type="continuationSeparator" w:id="0">
    <w:p w14:paraId="068A35CD" w14:textId="77777777" w:rsidR="00F82B4D" w:rsidRDefault="00F82B4D" w:rsidP="00473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C2055" w14:textId="77777777" w:rsidR="00F82B4D" w:rsidRDefault="00F82B4D" w:rsidP="004739A4">
      <w:pPr>
        <w:spacing w:after="0" w:line="240" w:lineRule="auto"/>
      </w:pPr>
      <w:r>
        <w:separator/>
      </w:r>
    </w:p>
  </w:footnote>
  <w:footnote w:type="continuationSeparator" w:id="0">
    <w:p w14:paraId="6DF8E7D2" w14:textId="77777777" w:rsidR="00F82B4D" w:rsidRDefault="00F82B4D" w:rsidP="004739A4">
      <w:pPr>
        <w:spacing w:after="0" w:line="240" w:lineRule="auto"/>
      </w:pPr>
      <w:r>
        <w:continuationSeparator/>
      </w:r>
    </w:p>
  </w:footnote>
  <w:footnote w:id="1">
    <w:p w14:paraId="73DCDDDE" w14:textId="21C5B074" w:rsidR="007F4B11" w:rsidRPr="003507DC" w:rsidRDefault="007F4B11">
      <w:pPr>
        <w:pStyle w:val="Textodenotaderodap"/>
        <w:rPr>
          <w:rFonts w:asciiTheme="majorHAnsi" w:hAnsiTheme="majorHAnsi" w:cstheme="majorHAnsi"/>
        </w:rPr>
      </w:pPr>
      <w:r w:rsidRPr="003507DC">
        <w:rPr>
          <w:rStyle w:val="Refdenotaderodap"/>
          <w:rFonts w:asciiTheme="majorHAnsi" w:hAnsiTheme="majorHAnsi" w:cstheme="majorHAnsi"/>
        </w:rPr>
        <w:footnoteRef/>
      </w:r>
      <w:r w:rsidRPr="003507DC">
        <w:rPr>
          <w:rFonts w:asciiTheme="majorHAnsi" w:hAnsiTheme="majorHAnsi" w:cstheme="majorHAnsi"/>
        </w:rPr>
        <w:t xml:space="preserve"> Preparada com base em </w:t>
      </w:r>
      <w:proofErr w:type="spellStart"/>
      <w:r w:rsidRPr="003507DC">
        <w:rPr>
          <w:rFonts w:asciiTheme="majorHAnsi" w:hAnsiTheme="majorHAnsi" w:cstheme="majorHAnsi"/>
        </w:rPr>
        <w:t>Doing</w:t>
      </w:r>
      <w:proofErr w:type="spellEnd"/>
      <w:r w:rsidRPr="003507DC">
        <w:rPr>
          <w:rFonts w:asciiTheme="majorHAnsi" w:hAnsiTheme="majorHAnsi" w:cstheme="majorHAnsi"/>
        </w:rPr>
        <w:t xml:space="preserve"> </w:t>
      </w:r>
      <w:proofErr w:type="spellStart"/>
      <w:r w:rsidRPr="003507DC">
        <w:rPr>
          <w:rFonts w:asciiTheme="majorHAnsi" w:hAnsiTheme="majorHAnsi" w:cstheme="majorHAnsi"/>
        </w:rPr>
        <w:t>Economics</w:t>
      </w:r>
      <w:proofErr w:type="spellEnd"/>
      <w:r w:rsidRPr="003507DC">
        <w:rPr>
          <w:rFonts w:asciiTheme="majorHAnsi" w:hAnsiTheme="majorHAnsi" w:cstheme="majorHAnsi"/>
        </w:rPr>
        <w:t xml:space="preserve">: </w:t>
      </w:r>
      <w:proofErr w:type="spellStart"/>
      <w:r w:rsidRPr="003507DC">
        <w:rPr>
          <w:rFonts w:asciiTheme="majorHAnsi" w:hAnsiTheme="majorHAnsi" w:cstheme="majorHAnsi"/>
        </w:rPr>
        <w:t>empirical</w:t>
      </w:r>
      <w:proofErr w:type="spellEnd"/>
      <w:r w:rsidRPr="003507DC">
        <w:rPr>
          <w:rFonts w:asciiTheme="majorHAnsi" w:hAnsiTheme="majorHAnsi" w:cstheme="majorHAnsi"/>
        </w:rPr>
        <w:t xml:space="preserve"> </w:t>
      </w:r>
      <w:proofErr w:type="spellStart"/>
      <w:r w:rsidRPr="003507DC">
        <w:rPr>
          <w:rFonts w:asciiTheme="majorHAnsi" w:hAnsiTheme="majorHAnsi" w:cstheme="majorHAnsi"/>
        </w:rPr>
        <w:t>projects</w:t>
      </w:r>
      <w:proofErr w:type="spellEnd"/>
      <w:r w:rsidRPr="003507DC">
        <w:rPr>
          <w:rFonts w:asciiTheme="majorHAnsi" w:hAnsiTheme="majorHAnsi" w:cstheme="majorHAnsi"/>
        </w:rPr>
        <w:t xml:space="preserve"> (http://www.core-econ.org/</w:t>
      </w:r>
      <w:proofErr w:type="spellStart"/>
      <w:r w:rsidRPr="003507DC">
        <w:rPr>
          <w:rFonts w:asciiTheme="majorHAnsi" w:hAnsiTheme="majorHAnsi" w:cstheme="majorHAnsi"/>
        </w:rPr>
        <w:t>doing-economics</w:t>
      </w:r>
      <w:proofErr w:type="spellEnd"/>
      <w:r w:rsidRPr="003507DC">
        <w:rPr>
          <w:rFonts w:asciiTheme="majorHAnsi" w:hAnsiTheme="majorHAnsi" w:cstheme="majorHAnsi"/>
        </w:rPr>
        <w:t>/index.html).</w:t>
      </w:r>
    </w:p>
  </w:footnote>
  <w:footnote w:id="2">
    <w:p w14:paraId="10E28BCB" w14:textId="553B1C56" w:rsidR="0066254E" w:rsidRPr="003507DC" w:rsidRDefault="0066254E">
      <w:pPr>
        <w:pStyle w:val="Textodenotaderodap"/>
        <w:rPr>
          <w:rFonts w:asciiTheme="majorHAnsi" w:hAnsiTheme="majorHAnsi" w:cstheme="majorHAnsi"/>
        </w:rPr>
      </w:pPr>
      <w:r w:rsidRPr="003507DC">
        <w:rPr>
          <w:rStyle w:val="Refdenotaderodap"/>
          <w:rFonts w:asciiTheme="majorHAnsi" w:hAnsiTheme="majorHAnsi" w:cstheme="majorHAnsi"/>
        </w:rPr>
        <w:footnoteRef/>
      </w:r>
      <w:r w:rsidRPr="003507DC">
        <w:rPr>
          <w:rFonts w:asciiTheme="majorHAnsi" w:hAnsiTheme="majorHAnsi" w:cstheme="majorHAnsi"/>
        </w:rPr>
        <w:t xml:space="preserve"> T</w:t>
      </w:r>
      <w:r w:rsidRPr="003507DC">
        <w:rPr>
          <w:rFonts w:asciiTheme="majorHAnsi" w:hAnsiTheme="majorHAnsi" w:cstheme="majorHAnsi"/>
        </w:rPr>
        <w:t xml:space="preserve">ipo de média que atribui maior importância (peso) a alguns componentes do que a outros, em contraste com uma média simples, que pesa cada componente igualmente. Componentes com um peso maior podem ter uma influência maior na </w:t>
      </w:r>
      <w:proofErr w:type="spellStart"/>
      <w:r w:rsidRPr="003507DC">
        <w:rPr>
          <w:rFonts w:asciiTheme="majorHAnsi" w:hAnsiTheme="majorHAnsi" w:cstheme="majorHAnsi"/>
        </w:rPr>
        <w:t>média.</w:t>
      </w:r>
    </w:p>
    <w:proofErr w:type="spellEnd"/>
  </w:footnote>
  <w:footnote w:id="3">
    <w:p w14:paraId="04E3FA5F" w14:textId="713F2485" w:rsidR="00B14702" w:rsidRPr="003507DC" w:rsidRDefault="00B14702">
      <w:pPr>
        <w:pStyle w:val="Textodenotaderodap"/>
        <w:rPr>
          <w:rFonts w:asciiTheme="majorHAnsi" w:hAnsiTheme="majorHAnsi" w:cstheme="majorHAnsi"/>
        </w:rPr>
      </w:pPr>
      <w:r w:rsidRPr="003507DC">
        <w:rPr>
          <w:rStyle w:val="Refdenotaderodap"/>
          <w:rFonts w:asciiTheme="majorHAnsi" w:hAnsiTheme="majorHAnsi" w:cstheme="majorHAnsi"/>
        </w:rPr>
        <w:footnoteRef/>
      </w:r>
      <w:r w:rsidRPr="003507DC">
        <w:rPr>
          <w:rFonts w:asciiTheme="majorHAnsi" w:hAnsiTheme="majorHAnsi" w:cstheme="majorHAnsi"/>
        </w:rPr>
        <w:t xml:space="preserve"> A </w:t>
      </w:r>
      <w:proofErr w:type="spellStart"/>
      <w:r w:rsidRPr="003507DC">
        <w:rPr>
          <w:rFonts w:asciiTheme="majorHAnsi" w:hAnsiTheme="majorHAnsi" w:cstheme="majorHAnsi"/>
        </w:rPr>
        <w:t>winsorização</w:t>
      </w:r>
      <w:proofErr w:type="spellEnd"/>
      <w:r w:rsidRPr="003507DC">
        <w:rPr>
          <w:rFonts w:asciiTheme="majorHAnsi" w:hAnsiTheme="majorHAnsi" w:cstheme="majorHAnsi"/>
        </w:rPr>
        <w:t xml:space="preserve"> consiste em aparar os valores extremos (acima ou abaixo dos percentis mínimos e máximos definidos), substituindo-os pelos valores menores e maiores remanescentes na distribuição calculados pelos percentis selecionados.</w:t>
      </w:r>
    </w:p>
  </w:footnote>
  <w:footnote w:id="4">
    <w:p w14:paraId="14E7DF56" w14:textId="36AA4CE6" w:rsidR="003507DC" w:rsidRPr="003507DC" w:rsidRDefault="003507DC">
      <w:pPr>
        <w:pStyle w:val="Textodenotaderodap"/>
        <w:rPr>
          <w:rFonts w:asciiTheme="majorHAnsi" w:hAnsiTheme="majorHAnsi" w:cstheme="majorHAnsi"/>
        </w:rPr>
      </w:pPr>
      <w:r w:rsidRPr="003507DC">
        <w:rPr>
          <w:rStyle w:val="Refdenotaderodap"/>
          <w:rFonts w:asciiTheme="majorHAnsi" w:hAnsiTheme="majorHAnsi" w:cstheme="majorHAnsi"/>
        </w:rPr>
        <w:footnoteRef/>
      </w:r>
      <w:r w:rsidRPr="003507DC">
        <w:rPr>
          <w:rFonts w:asciiTheme="majorHAnsi" w:hAnsiTheme="majorHAnsi" w:cstheme="majorHAnsi"/>
        </w:rPr>
        <w:t xml:space="preserve"> Í</w:t>
      </w:r>
      <w:r w:rsidRPr="003507DC">
        <w:rPr>
          <w:rFonts w:asciiTheme="majorHAnsi" w:hAnsiTheme="majorHAnsi" w:cstheme="majorHAnsi"/>
        </w:rPr>
        <w:t>ndice de alavancagem (para bancos ou famílias) O valor dos ativos dividido pela participação no capital (capital aportado pelos proprietários e acionistas) nesses ativos.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8125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AA67A1"/>
    <w:multiLevelType w:val="hybridMultilevel"/>
    <w:tmpl w:val="BBAEB91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111"/>
    <w:multiLevelType w:val="hybridMultilevel"/>
    <w:tmpl w:val="823812D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11C4C"/>
    <w:multiLevelType w:val="hybridMultilevel"/>
    <w:tmpl w:val="9BFA3C8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031"/>
    <w:multiLevelType w:val="hybridMultilevel"/>
    <w:tmpl w:val="2A28CF8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6DEE"/>
    <w:multiLevelType w:val="hybridMultilevel"/>
    <w:tmpl w:val="6C6E2E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860E0"/>
    <w:multiLevelType w:val="hybridMultilevel"/>
    <w:tmpl w:val="948055D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4149"/>
    <w:multiLevelType w:val="hybridMultilevel"/>
    <w:tmpl w:val="8B8E61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C72B2"/>
    <w:multiLevelType w:val="hybridMultilevel"/>
    <w:tmpl w:val="CAAE0F8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0ADF"/>
    <w:multiLevelType w:val="hybridMultilevel"/>
    <w:tmpl w:val="9F62F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94419"/>
    <w:multiLevelType w:val="hybridMultilevel"/>
    <w:tmpl w:val="C7104F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C3184"/>
    <w:multiLevelType w:val="hybridMultilevel"/>
    <w:tmpl w:val="B33ED4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B3B19"/>
    <w:multiLevelType w:val="hybridMultilevel"/>
    <w:tmpl w:val="E2126D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07C0D"/>
    <w:multiLevelType w:val="hybridMultilevel"/>
    <w:tmpl w:val="7F44F9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925B8"/>
    <w:multiLevelType w:val="hybridMultilevel"/>
    <w:tmpl w:val="45FAD4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B67C4"/>
    <w:multiLevelType w:val="hybridMultilevel"/>
    <w:tmpl w:val="B792ECF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C034C"/>
    <w:multiLevelType w:val="hybridMultilevel"/>
    <w:tmpl w:val="3C38B3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6312D5"/>
    <w:multiLevelType w:val="hybridMultilevel"/>
    <w:tmpl w:val="39E0A5A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35976"/>
    <w:multiLevelType w:val="hybridMultilevel"/>
    <w:tmpl w:val="A6D265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6344B6"/>
    <w:multiLevelType w:val="hybridMultilevel"/>
    <w:tmpl w:val="946EE6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E02E1"/>
    <w:multiLevelType w:val="hybridMultilevel"/>
    <w:tmpl w:val="DC7065C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03834"/>
    <w:multiLevelType w:val="hybridMultilevel"/>
    <w:tmpl w:val="C89E08D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F3872"/>
    <w:multiLevelType w:val="hybridMultilevel"/>
    <w:tmpl w:val="0A523D9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52C31"/>
    <w:multiLevelType w:val="hybridMultilevel"/>
    <w:tmpl w:val="426462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26DD1"/>
    <w:multiLevelType w:val="hybridMultilevel"/>
    <w:tmpl w:val="5190661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B2B81"/>
    <w:multiLevelType w:val="hybridMultilevel"/>
    <w:tmpl w:val="43CC3C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070F5"/>
    <w:multiLevelType w:val="hybridMultilevel"/>
    <w:tmpl w:val="67CA4A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B1557D"/>
    <w:multiLevelType w:val="hybridMultilevel"/>
    <w:tmpl w:val="C758F4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25418"/>
    <w:multiLevelType w:val="hybridMultilevel"/>
    <w:tmpl w:val="B100D08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F7304"/>
    <w:multiLevelType w:val="hybridMultilevel"/>
    <w:tmpl w:val="55DC3B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7D776C"/>
    <w:multiLevelType w:val="hybridMultilevel"/>
    <w:tmpl w:val="896ECA4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3C0430"/>
    <w:multiLevelType w:val="hybridMultilevel"/>
    <w:tmpl w:val="CA6E526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05E54"/>
    <w:multiLevelType w:val="hybridMultilevel"/>
    <w:tmpl w:val="5192B40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C28F5"/>
    <w:multiLevelType w:val="hybridMultilevel"/>
    <w:tmpl w:val="F7284E2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B203CF"/>
    <w:multiLevelType w:val="hybridMultilevel"/>
    <w:tmpl w:val="7C4030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D07FAB"/>
    <w:multiLevelType w:val="hybridMultilevel"/>
    <w:tmpl w:val="29F293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9611E6"/>
    <w:multiLevelType w:val="hybridMultilevel"/>
    <w:tmpl w:val="9E907E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E95687"/>
    <w:multiLevelType w:val="hybridMultilevel"/>
    <w:tmpl w:val="969A291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427AAF"/>
    <w:multiLevelType w:val="hybridMultilevel"/>
    <w:tmpl w:val="9C76E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FB3F24"/>
    <w:multiLevelType w:val="hybridMultilevel"/>
    <w:tmpl w:val="DC28AEB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BF607F"/>
    <w:multiLevelType w:val="hybridMultilevel"/>
    <w:tmpl w:val="7F78B8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FA4616"/>
    <w:multiLevelType w:val="hybridMultilevel"/>
    <w:tmpl w:val="FB9C156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06B8B"/>
    <w:multiLevelType w:val="hybridMultilevel"/>
    <w:tmpl w:val="F85C72E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AC3995"/>
    <w:multiLevelType w:val="hybridMultilevel"/>
    <w:tmpl w:val="B574B7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13689"/>
    <w:multiLevelType w:val="hybridMultilevel"/>
    <w:tmpl w:val="BA6431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41272A"/>
    <w:multiLevelType w:val="hybridMultilevel"/>
    <w:tmpl w:val="191837A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436F28"/>
    <w:multiLevelType w:val="hybridMultilevel"/>
    <w:tmpl w:val="59C2C4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5B62C0"/>
    <w:multiLevelType w:val="hybridMultilevel"/>
    <w:tmpl w:val="4B6E1D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2E3E4C"/>
    <w:multiLevelType w:val="hybridMultilevel"/>
    <w:tmpl w:val="650E34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4C1AF4"/>
    <w:multiLevelType w:val="hybridMultilevel"/>
    <w:tmpl w:val="5BA895A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0"/>
  </w:num>
  <w:num w:numId="3">
    <w:abstractNumId w:val="47"/>
  </w:num>
  <w:num w:numId="4">
    <w:abstractNumId w:val="44"/>
  </w:num>
  <w:num w:numId="5">
    <w:abstractNumId w:val="9"/>
  </w:num>
  <w:num w:numId="6">
    <w:abstractNumId w:val="46"/>
  </w:num>
  <w:num w:numId="7">
    <w:abstractNumId w:val="2"/>
  </w:num>
  <w:num w:numId="8">
    <w:abstractNumId w:val="10"/>
  </w:num>
  <w:num w:numId="9">
    <w:abstractNumId w:val="32"/>
  </w:num>
  <w:num w:numId="10">
    <w:abstractNumId w:val="41"/>
  </w:num>
  <w:num w:numId="11">
    <w:abstractNumId w:val="35"/>
  </w:num>
  <w:num w:numId="12">
    <w:abstractNumId w:val="5"/>
  </w:num>
  <w:num w:numId="13">
    <w:abstractNumId w:val="40"/>
  </w:num>
  <w:num w:numId="14">
    <w:abstractNumId w:val="7"/>
  </w:num>
  <w:num w:numId="15">
    <w:abstractNumId w:val="18"/>
  </w:num>
  <w:num w:numId="16">
    <w:abstractNumId w:val="33"/>
  </w:num>
  <w:num w:numId="17">
    <w:abstractNumId w:val="16"/>
  </w:num>
  <w:num w:numId="18">
    <w:abstractNumId w:val="19"/>
  </w:num>
  <w:num w:numId="19">
    <w:abstractNumId w:val="28"/>
  </w:num>
  <w:num w:numId="20">
    <w:abstractNumId w:val="12"/>
  </w:num>
  <w:num w:numId="21">
    <w:abstractNumId w:val="13"/>
  </w:num>
  <w:num w:numId="22">
    <w:abstractNumId w:val="29"/>
  </w:num>
  <w:num w:numId="23">
    <w:abstractNumId w:val="15"/>
  </w:num>
  <w:num w:numId="24">
    <w:abstractNumId w:val="49"/>
  </w:num>
  <w:num w:numId="25">
    <w:abstractNumId w:val="8"/>
  </w:num>
  <w:num w:numId="26">
    <w:abstractNumId w:val="36"/>
  </w:num>
  <w:num w:numId="27">
    <w:abstractNumId w:val="22"/>
  </w:num>
  <w:num w:numId="28">
    <w:abstractNumId w:val="24"/>
  </w:num>
  <w:num w:numId="29">
    <w:abstractNumId w:val="25"/>
  </w:num>
  <w:num w:numId="30">
    <w:abstractNumId w:val="45"/>
  </w:num>
  <w:num w:numId="31">
    <w:abstractNumId w:val="6"/>
  </w:num>
  <w:num w:numId="32">
    <w:abstractNumId w:val="14"/>
  </w:num>
  <w:num w:numId="33">
    <w:abstractNumId w:val="1"/>
  </w:num>
  <w:num w:numId="34">
    <w:abstractNumId w:val="20"/>
  </w:num>
  <w:num w:numId="35">
    <w:abstractNumId w:val="34"/>
  </w:num>
  <w:num w:numId="36">
    <w:abstractNumId w:val="4"/>
  </w:num>
  <w:num w:numId="37">
    <w:abstractNumId w:val="26"/>
  </w:num>
  <w:num w:numId="38">
    <w:abstractNumId w:val="31"/>
  </w:num>
  <w:num w:numId="39">
    <w:abstractNumId w:val="30"/>
  </w:num>
  <w:num w:numId="40">
    <w:abstractNumId w:val="17"/>
  </w:num>
  <w:num w:numId="41">
    <w:abstractNumId w:val="27"/>
  </w:num>
  <w:num w:numId="42">
    <w:abstractNumId w:val="39"/>
  </w:num>
  <w:num w:numId="43">
    <w:abstractNumId w:val="38"/>
  </w:num>
  <w:num w:numId="44">
    <w:abstractNumId w:val="3"/>
  </w:num>
  <w:num w:numId="45">
    <w:abstractNumId w:val="48"/>
  </w:num>
  <w:num w:numId="46">
    <w:abstractNumId w:val="11"/>
  </w:num>
  <w:num w:numId="47">
    <w:abstractNumId w:val="23"/>
  </w:num>
  <w:num w:numId="48">
    <w:abstractNumId w:val="37"/>
  </w:num>
  <w:num w:numId="49">
    <w:abstractNumId w:val="42"/>
  </w:num>
  <w:num w:numId="50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C6"/>
    <w:rsid w:val="0000386B"/>
    <w:rsid w:val="00004A35"/>
    <w:rsid w:val="00007D18"/>
    <w:rsid w:val="000249F3"/>
    <w:rsid w:val="0003244E"/>
    <w:rsid w:val="00035761"/>
    <w:rsid w:val="000725AC"/>
    <w:rsid w:val="00077E0B"/>
    <w:rsid w:val="0009345C"/>
    <w:rsid w:val="0009441F"/>
    <w:rsid w:val="000A0526"/>
    <w:rsid w:val="000B1A78"/>
    <w:rsid w:val="000C2194"/>
    <w:rsid w:val="000C556E"/>
    <w:rsid w:val="000D01D4"/>
    <w:rsid w:val="000D75E9"/>
    <w:rsid w:val="000E48C2"/>
    <w:rsid w:val="000E4A8A"/>
    <w:rsid w:val="00100B2F"/>
    <w:rsid w:val="001056A1"/>
    <w:rsid w:val="001320D5"/>
    <w:rsid w:val="00142D07"/>
    <w:rsid w:val="00174E13"/>
    <w:rsid w:val="00180FB1"/>
    <w:rsid w:val="00182A20"/>
    <w:rsid w:val="00190423"/>
    <w:rsid w:val="00191444"/>
    <w:rsid w:val="00193E7A"/>
    <w:rsid w:val="0019520A"/>
    <w:rsid w:val="00196ED6"/>
    <w:rsid w:val="00197CBA"/>
    <w:rsid w:val="001A0F68"/>
    <w:rsid w:val="001B43F3"/>
    <w:rsid w:val="001B59F5"/>
    <w:rsid w:val="001D242C"/>
    <w:rsid w:val="001E68C3"/>
    <w:rsid w:val="001F69B5"/>
    <w:rsid w:val="00205F1C"/>
    <w:rsid w:val="00206E96"/>
    <w:rsid w:val="00212C14"/>
    <w:rsid w:val="0021624B"/>
    <w:rsid w:val="00226A31"/>
    <w:rsid w:val="00234F4B"/>
    <w:rsid w:val="00236B97"/>
    <w:rsid w:val="00242297"/>
    <w:rsid w:val="002525C9"/>
    <w:rsid w:val="00257DD7"/>
    <w:rsid w:val="002607AF"/>
    <w:rsid w:val="00264629"/>
    <w:rsid w:val="00272E55"/>
    <w:rsid w:val="00273022"/>
    <w:rsid w:val="002737E3"/>
    <w:rsid w:val="0029284B"/>
    <w:rsid w:val="002B5A74"/>
    <w:rsid w:val="002B6E61"/>
    <w:rsid w:val="002C492E"/>
    <w:rsid w:val="002E62CE"/>
    <w:rsid w:val="002F2EA3"/>
    <w:rsid w:val="002F3100"/>
    <w:rsid w:val="0030451A"/>
    <w:rsid w:val="00310493"/>
    <w:rsid w:val="00314435"/>
    <w:rsid w:val="00314535"/>
    <w:rsid w:val="00321A39"/>
    <w:rsid w:val="00332834"/>
    <w:rsid w:val="0034396B"/>
    <w:rsid w:val="003507DC"/>
    <w:rsid w:val="00354AFE"/>
    <w:rsid w:val="00355D57"/>
    <w:rsid w:val="0037142A"/>
    <w:rsid w:val="00371720"/>
    <w:rsid w:val="00374230"/>
    <w:rsid w:val="0037685A"/>
    <w:rsid w:val="003775BC"/>
    <w:rsid w:val="00377977"/>
    <w:rsid w:val="00380B5C"/>
    <w:rsid w:val="00385512"/>
    <w:rsid w:val="00391550"/>
    <w:rsid w:val="003A3ADB"/>
    <w:rsid w:val="003A58D8"/>
    <w:rsid w:val="003B2F2F"/>
    <w:rsid w:val="003B7E3F"/>
    <w:rsid w:val="003C35EB"/>
    <w:rsid w:val="003D4037"/>
    <w:rsid w:val="003E38DB"/>
    <w:rsid w:val="003F6A63"/>
    <w:rsid w:val="003F7AB7"/>
    <w:rsid w:val="00415ECA"/>
    <w:rsid w:val="00434426"/>
    <w:rsid w:val="00441DB4"/>
    <w:rsid w:val="0044601D"/>
    <w:rsid w:val="00452230"/>
    <w:rsid w:val="00462213"/>
    <w:rsid w:val="00465E9A"/>
    <w:rsid w:val="004739A4"/>
    <w:rsid w:val="004921DB"/>
    <w:rsid w:val="00497105"/>
    <w:rsid w:val="004A2CF3"/>
    <w:rsid w:val="004A6532"/>
    <w:rsid w:val="004B09F4"/>
    <w:rsid w:val="004B781E"/>
    <w:rsid w:val="004C03D9"/>
    <w:rsid w:val="004C5303"/>
    <w:rsid w:val="004F1407"/>
    <w:rsid w:val="004F445F"/>
    <w:rsid w:val="00500A4B"/>
    <w:rsid w:val="005110B1"/>
    <w:rsid w:val="0052379F"/>
    <w:rsid w:val="00531891"/>
    <w:rsid w:val="00535C72"/>
    <w:rsid w:val="00544062"/>
    <w:rsid w:val="005549CE"/>
    <w:rsid w:val="005642E3"/>
    <w:rsid w:val="00583F7E"/>
    <w:rsid w:val="0059693B"/>
    <w:rsid w:val="00597F89"/>
    <w:rsid w:val="005A5E1E"/>
    <w:rsid w:val="005B4B3E"/>
    <w:rsid w:val="005B58D8"/>
    <w:rsid w:val="005C6813"/>
    <w:rsid w:val="005C78AB"/>
    <w:rsid w:val="005E303B"/>
    <w:rsid w:val="005E5477"/>
    <w:rsid w:val="005E7902"/>
    <w:rsid w:val="005F6BEC"/>
    <w:rsid w:val="005F71E4"/>
    <w:rsid w:val="00606F3E"/>
    <w:rsid w:val="00615BAE"/>
    <w:rsid w:val="00641FB0"/>
    <w:rsid w:val="00643BE7"/>
    <w:rsid w:val="00645D1F"/>
    <w:rsid w:val="00646361"/>
    <w:rsid w:val="006534BB"/>
    <w:rsid w:val="00661EE0"/>
    <w:rsid w:val="0066254E"/>
    <w:rsid w:val="00666553"/>
    <w:rsid w:val="00677E00"/>
    <w:rsid w:val="00684966"/>
    <w:rsid w:val="00697568"/>
    <w:rsid w:val="006A0FE6"/>
    <w:rsid w:val="006A76C5"/>
    <w:rsid w:val="006D1CF3"/>
    <w:rsid w:val="006D4794"/>
    <w:rsid w:val="006E57A2"/>
    <w:rsid w:val="006F2F42"/>
    <w:rsid w:val="006F37AD"/>
    <w:rsid w:val="006F5937"/>
    <w:rsid w:val="006F706F"/>
    <w:rsid w:val="0070667F"/>
    <w:rsid w:val="007448AB"/>
    <w:rsid w:val="00752E60"/>
    <w:rsid w:val="00756AD6"/>
    <w:rsid w:val="0076653E"/>
    <w:rsid w:val="007665F5"/>
    <w:rsid w:val="00766CA9"/>
    <w:rsid w:val="00772FE5"/>
    <w:rsid w:val="00773E5A"/>
    <w:rsid w:val="00776FB2"/>
    <w:rsid w:val="00784E10"/>
    <w:rsid w:val="00785DEE"/>
    <w:rsid w:val="00790801"/>
    <w:rsid w:val="00793B62"/>
    <w:rsid w:val="007A12B9"/>
    <w:rsid w:val="007A1ABD"/>
    <w:rsid w:val="007B70ED"/>
    <w:rsid w:val="007B7A24"/>
    <w:rsid w:val="007E52D2"/>
    <w:rsid w:val="007F4B11"/>
    <w:rsid w:val="007F4EEF"/>
    <w:rsid w:val="007F67A2"/>
    <w:rsid w:val="00814701"/>
    <w:rsid w:val="0081543B"/>
    <w:rsid w:val="008242F2"/>
    <w:rsid w:val="0082656E"/>
    <w:rsid w:val="00832CC0"/>
    <w:rsid w:val="00851959"/>
    <w:rsid w:val="00866824"/>
    <w:rsid w:val="00866AF7"/>
    <w:rsid w:val="00876054"/>
    <w:rsid w:val="00877CAF"/>
    <w:rsid w:val="00880988"/>
    <w:rsid w:val="00890E2C"/>
    <w:rsid w:val="00894660"/>
    <w:rsid w:val="008A0DEC"/>
    <w:rsid w:val="008A5EC6"/>
    <w:rsid w:val="008B242A"/>
    <w:rsid w:val="008B6F59"/>
    <w:rsid w:val="008C1F01"/>
    <w:rsid w:val="008C354A"/>
    <w:rsid w:val="008D2CB1"/>
    <w:rsid w:val="008F7EC6"/>
    <w:rsid w:val="0090550D"/>
    <w:rsid w:val="0091110B"/>
    <w:rsid w:val="0092052A"/>
    <w:rsid w:val="00921D4B"/>
    <w:rsid w:val="00930AA0"/>
    <w:rsid w:val="009313CD"/>
    <w:rsid w:val="009369EB"/>
    <w:rsid w:val="00957827"/>
    <w:rsid w:val="009608E1"/>
    <w:rsid w:val="00963151"/>
    <w:rsid w:val="00966FAB"/>
    <w:rsid w:val="00970727"/>
    <w:rsid w:val="00977151"/>
    <w:rsid w:val="00981996"/>
    <w:rsid w:val="009830F7"/>
    <w:rsid w:val="00984A97"/>
    <w:rsid w:val="00995EE9"/>
    <w:rsid w:val="00995FD5"/>
    <w:rsid w:val="00996390"/>
    <w:rsid w:val="009965BA"/>
    <w:rsid w:val="0099733E"/>
    <w:rsid w:val="009B1638"/>
    <w:rsid w:val="009C06D7"/>
    <w:rsid w:val="009F22F2"/>
    <w:rsid w:val="00A078E3"/>
    <w:rsid w:val="00A12624"/>
    <w:rsid w:val="00A13998"/>
    <w:rsid w:val="00A16293"/>
    <w:rsid w:val="00A21001"/>
    <w:rsid w:val="00A24A19"/>
    <w:rsid w:val="00A2627A"/>
    <w:rsid w:val="00A2638B"/>
    <w:rsid w:val="00A30247"/>
    <w:rsid w:val="00A40F68"/>
    <w:rsid w:val="00A42ECF"/>
    <w:rsid w:val="00A47907"/>
    <w:rsid w:val="00A539F5"/>
    <w:rsid w:val="00A54BBF"/>
    <w:rsid w:val="00A630FA"/>
    <w:rsid w:val="00A6389F"/>
    <w:rsid w:val="00A71A48"/>
    <w:rsid w:val="00A732A7"/>
    <w:rsid w:val="00A7378F"/>
    <w:rsid w:val="00A75D83"/>
    <w:rsid w:val="00A77BF6"/>
    <w:rsid w:val="00A97195"/>
    <w:rsid w:val="00AC1244"/>
    <w:rsid w:val="00AC3B11"/>
    <w:rsid w:val="00AF04F4"/>
    <w:rsid w:val="00AF23B7"/>
    <w:rsid w:val="00B0539C"/>
    <w:rsid w:val="00B1310C"/>
    <w:rsid w:val="00B14702"/>
    <w:rsid w:val="00B16936"/>
    <w:rsid w:val="00B256EC"/>
    <w:rsid w:val="00B31D2A"/>
    <w:rsid w:val="00B47177"/>
    <w:rsid w:val="00B575C7"/>
    <w:rsid w:val="00B73A3B"/>
    <w:rsid w:val="00B93B89"/>
    <w:rsid w:val="00BB61B6"/>
    <w:rsid w:val="00BC18B3"/>
    <w:rsid w:val="00BC69EF"/>
    <w:rsid w:val="00BC6EBD"/>
    <w:rsid w:val="00BD5E75"/>
    <w:rsid w:val="00BD7126"/>
    <w:rsid w:val="00BD792A"/>
    <w:rsid w:val="00BE67F9"/>
    <w:rsid w:val="00BF7125"/>
    <w:rsid w:val="00C00244"/>
    <w:rsid w:val="00C0084B"/>
    <w:rsid w:val="00C04969"/>
    <w:rsid w:val="00C04A25"/>
    <w:rsid w:val="00C10C56"/>
    <w:rsid w:val="00C11EEE"/>
    <w:rsid w:val="00C1674B"/>
    <w:rsid w:val="00C23E7E"/>
    <w:rsid w:val="00C31369"/>
    <w:rsid w:val="00C4189E"/>
    <w:rsid w:val="00C43B33"/>
    <w:rsid w:val="00C51A08"/>
    <w:rsid w:val="00C5301F"/>
    <w:rsid w:val="00C835E1"/>
    <w:rsid w:val="00C924AA"/>
    <w:rsid w:val="00C94CE2"/>
    <w:rsid w:val="00CA1B99"/>
    <w:rsid w:val="00CA488D"/>
    <w:rsid w:val="00CA53E6"/>
    <w:rsid w:val="00CA5AAA"/>
    <w:rsid w:val="00CB55BE"/>
    <w:rsid w:val="00CC3A79"/>
    <w:rsid w:val="00CC5AC8"/>
    <w:rsid w:val="00CC7002"/>
    <w:rsid w:val="00CD050F"/>
    <w:rsid w:val="00CD3EB9"/>
    <w:rsid w:val="00CD6B1B"/>
    <w:rsid w:val="00CD7745"/>
    <w:rsid w:val="00CE2B98"/>
    <w:rsid w:val="00CE379E"/>
    <w:rsid w:val="00CE5D6B"/>
    <w:rsid w:val="00CE7547"/>
    <w:rsid w:val="00CE7E19"/>
    <w:rsid w:val="00CF61D7"/>
    <w:rsid w:val="00CF75E8"/>
    <w:rsid w:val="00D07B39"/>
    <w:rsid w:val="00D14AF9"/>
    <w:rsid w:val="00D16EBB"/>
    <w:rsid w:val="00D24ECC"/>
    <w:rsid w:val="00D36032"/>
    <w:rsid w:val="00D50842"/>
    <w:rsid w:val="00D66E65"/>
    <w:rsid w:val="00D73266"/>
    <w:rsid w:val="00D80AB8"/>
    <w:rsid w:val="00D84DF3"/>
    <w:rsid w:val="00D860A1"/>
    <w:rsid w:val="00D90110"/>
    <w:rsid w:val="00D92CDB"/>
    <w:rsid w:val="00D930D8"/>
    <w:rsid w:val="00DA3D5E"/>
    <w:rsid w:val="00DB2AC3"/>
    <w:rsid w:val="00DB5CE1"/>
    <w:rsid w:val="00DC297C"/>
    <w:rsid w:val="00DD0919"/>
    <w:rsid w:val="00DE4E22"/>
    <w:rsid w:val="00DE53E9"/>
    <w:rsid w:val="00DE59AF"/>
    <w:rsid w:val="00DF5C4F"/>
    <w:rsid w:val="00DF5DA0"/>
    <w:rsid w:val="00E05E7B"/>
    <w:rsid w:val="00E2020C"/>
    <w:rsid w:val="00E44149"/>
    <w:rsid w:val="00E71AE3"/>
    <w:rsid w:val="00E72991"/>
    <w:rsid w:val="00E7450B"/>
    <w:rsid w:val="00E9073E"/>
    <w:rsid w:val="00E92DFC"/>
    <w:rsid w:val="00E93892"/>
    <w:rsid w:val="00EB7F86"/>
    <w:rsid w:val="00EC4795"/>
    <w:rsid w:val="00EC61B5"/>
    <w:rsid w:val="00ED349D"/>
    <w:rsid w:val="00EE2473"/>
    <w:rsid w:val="00EE2FD0"/>
    <w:rsid w:val="00EF2232"/>
    <w:rsid w:val="00F021F3"/>
    <w:rsid w:val="00F06492"/>
    <w:rsid w:val="00F07250"/>
    <w:rsid w:val="00F079A0"/>
    <w:rsid w:val="00F07E4C"/>
    <w:rsid w:val="00F109BD"/>
    <w:rsid w:val="00F15B1B"/>
    <w:rsid w:val="00F429D6"/>
    <w:rsid w:val="00F43DE7"/>
    <w:rsid w:val="00F52FD8"/>
    <w:rsid w:val="00F56A2E"/>
    <w:rsid w:val="00F576BD"/>
    <w:rsid w:val="00F624C8"/>
    <w:rsid w:val="00F71BE0"/>
    <w:rsid w:val="00F82B4D"/>
    <w:rsid w:val="00F84496"/>
    <w:rsid w:val="00FA018E"/>
    <w:rsid w:val="00FA274D"/>
    <w:rsid w:val="00FB583A"/>
    <w:rsid w:val="00FD78A2"/>
    <w:rsid w:val="00FE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522DE"/>
  <w15:chartTrackingRefBased/>
  <w15:docId w15:val="{D84C6CA3-65EF-46D3-89C5-E7D41367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D83"/>
  </w:style>
  <w:style w:type="paragraph" w:styleId="Ttulo1">
    <w:name w:val="heading 1"/>
    <w:basedOn w:val="Normal"/>
    <w:next w:val="Normal"/>
    <w:link w:val="Ttulo1Char"/>
    <w:uiPriority w:val="9"/>
    <w:qFormat/>
    <w:rsid w:val="00A75D83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75D8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75D8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A75D8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75D8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75D8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75D8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75D8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75D8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96390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A75D83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75D8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75D8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A75D83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75D8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75D8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75D8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75D8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75D8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"/>
    <w:next w:val="Normal"/>
    <w:uiPriority w:val="35"/>
    <w:unhideWhenUsed/>
    <w:qFormat/>
    <w:rsid w:val="00A75D8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A75D8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tuloChar">
    <w:name w:val="Título Char"/>
    <w:basedOn w:val="Fontepargpadro"/>
    <w:link w:val="Ttulo"/>
    <w:uiPriority w:val="10"/>
    <w:rsid w:val="00A75D83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Subttulo">
    <w:name w:val="Subtitle"/>
    <w:basedOn w:val="Normal"/>
    <w:next w:val="Normal"/>
    <w:link w:val="SubttuloChar"/>
    <w:uiPriority w:val="11"/>
    <w:qFormat/>
    <w:rsid w:val="00A75D8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A75D8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orte">
    <w:name w:val="Strong"/>
    <w:basedOn w:val="Fontepargpadro"/>
    <w:uiPriority w:val="22"/>
    <w:qFormat/>
    <w:rsid w:val="00A75D83"/>
    <w:rPr>
      <w:b/>
      <w:bCs/>
    </w:rPr>
  </w:style>
  <w:style w:type="character" w:styleId="nfase">
    <w:name w:val="Emphasis"/>
    <w:basedOn w:val="Fontepargpadro"/>
    <w:uiPriority w:val="20"/>
    <w:qFormat/>
    <w:rsid w:val="00A75D83"/>
    <w:rPr>
      <w:i/>
      <w:iCs/>
    </w:rPr>
  </w:style>
  <w:style w:type="paragraph" w:styleId="SemEspaamento">
    <w:name w:val="No Spacing"/>
    <w:uiPriority w:val="1"/>
    <w:qFormat/>
    <w:rsid w:val="00A75D83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A75D8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A75D83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75D83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75D8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A75D83"/>
    <w:rPr>
      <w:i/>
      <w:iCs/>
      <w:color w:val="595959" w:themeColor="text1" w:themeTint="A6"/>
    </w:rPr>
  </w:style>
  <w:style w:type="character" w:styleId="nfaseIntensa">
    <w:name w:val="Intense Emphasis"/>
    <w:basedOn w:val="Fontepargpadro"/>
    <w:uiPriority w:val="21"/>
    <w:qFormat/>
    <w:rsid w:val="00A75D83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A75D83"/>
    <w:rPr>
      <w:smallCaps/>
      <w:color w:val="404040" w:themeColor="text1" w:themeTint="BF"/>
    </w:rPr>
  </w:style>
  <w:style w:type="character" w:styleId="RefernciaIntensa">
    <w:name w:val="Intense Reference"/>
    <w:basedOn w:val="Fontepargpadro"/>
    <w:uiPriority w:val="32"/>
    <w:qFormat/>
    <w:rsid w:val="00A75D83"/>
    <w:rPr>
      <w:b/>
      <w:bCs/>
      <w:smallCaps/>
      <w:u w:val="single"/>
    </w:rPr>
  </w:style>
  <w:style w:type="character" w:styleId="TtulodoLivro">
    <w:name w:val="Book Title"/>
    <w:basedOn w:val="Fontepargpadro"/>
    <w:uiPriority w:val="33"/>
    <w:qFormat/>
    <w:rsid w:val="00A75D83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75D83"/>
    <w:pPr>
      <w:outlineLvl w:val="9"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739A4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739A4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739A4"/>
    <w:rPr>
      <w:vertAlign w:val="superscript"/>
    </w:rPr>
  </w:style>
  <w:style w:type="table" w:styleId="Tabelacomgrade">
    <w:name w:val="Table Grid"/>
    <w:basedOn w:val="Tabelanormal"/>
    <w:uiPriority w:val="39"/>
    <w:rsid w:val="00C10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452230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320D5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851959"/>
    <w:rPr>
      <w:color w:val="808080"/>
    </w:rPr>
  </w:style>
  <w:style w:type="character" w:customStyle="1" w:styleId="mtext">
    <w:name w:val="mtext"/>
    <w:basedOn w:val="Fontepargpadro"/>
    <w:rsid w:val="000C556E"/>
  </w:style>
  <w:style w:type="character" w:customStyle="1" w:styleId="mi">
    <w:name w:val="mi"/>
    <w:basedOn w:val="Fontepargpadro"/>
    <w:rsid w:val="000C556E"/>
  </w:style>
  <w:style w:type="character" w:customStyle="1" w:styleId="mo">
    <w:name w:val="mo"/>
    <w:basedOn w:val="Fontepargpadro"/>
    <w:rsid w:val="000C556E"/>
  </w:style>
  <w:style w:type="character" w:customStyle="1" w:styleId="mn">
    <w:name w:val="mn"/>
    <w:basedOn w:val="Fontepargpadro"/>
    <w:rsid w:val="000C556E"/>
  </w:style>
  <w:style w:type="character" w:customStyle="1" w:styleId="mjxassistivemathml">
    <w:name w:val="mjx_assistive_mathml"/>
    <w:basedOn w:val="Fontepargpadro"/>
    <w:rsid w:val="00B256EC"/>
  </w:style>
  <w:style w:type="character" w:customStyle="1" w:styleId="msqrt">
    <w:name w:val="msqrt"/>
    <w:basedOn w:val="Fontepargpadro"/>
    <w:rsid w:val="00EE2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co.re/16483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inyco.re/97617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inyco.re/976179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E6FFC-CF11-4B5C-9AA4-21FF9809D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2187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13</cp:revision>
  <dcterms:created xsi:type="dcterms:W3CDTF">2019-08-29T11:40:00Z</dcterms:created>
  <dcterms:modified xsi:type="dcterms:W3CDTF">2019-08-29T12:33:00Z</dcterms:modified>
</cp:coreProperties>
</file>